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Using Kiro to Implement the AWS Well-Architected Agentic AI Lens</w:t>
      </w:r>
      <w:r/>
    </w:p>
    <w:p>
      <w:pPr>
        <w:pStyle w:val="Heading2"/>
      </w:pPr>
      <w:r>
        <w:t>The gap between best practices and implementation</w:t>
      </w:r>
      <w:r/>
    </w:p>
    <w:p>
      <w:r/>
      <w:r>
        <w:t xml:space="preserve">The </w:t>
      </w:r>
      <w:hyperlink r:id="rId9">
        <w:r>
          <w:rPr>
            <w:color w:val="0000EE"/>
            <w:u w:val="single"/>
          </w:rPr>
          <w:t>AWS Well-Architected Agentic AI Lens</w:t>
        </w:r>
      </w:hyperlink>
      <w:r>
        <w:t xml:space="preserve"> is one of the most comprehensive guides available for building production-grade autonomous AI systems. It covers six pillars — Operational Excellence, Security, Reliability, Performance Efficiency, Cost Optimization, and Sustainability — each adapted specifically for agentic workloads.</w:t>
      </w:r>
      <w:r/>
    </w:p>
    <w:p>
      <w:r/>
      <w:r>
        <w:t>Teams read it. They agree with the recommendations. And then they struggle to operationalize them consistently.</w:t>
      </w:r>
      <w:r/>
    </w:p>
    <w:p>
      <w:r/>
      <w:r>
        <w:t>The problem is familiar: best-practice documents describe what good looks like, but they don't embed themselves into the development workflow. A security recommendation like "implement tool authorization with least-privilege scoping" is unambiguous, but without enforcement at authoring time, it depends on every developer remembering to apply it to every agent feature, in every sprint, forever.</w:t>
      </w:r>
      <w:r/>
    </w:p>
    <w:p>
      <w:r/>
      <w:r>
        <w:t>This is the gap Kiro closes.</w:t>
      </w:r>
      <w:r/>
    </w:p>
    <w:p>
      <w:r/>
      <w:hyperlink r:id="rId10">
        <w:r>
          <w:rPr>
            <w:color w:val="0000EE"/>
            <w:u w:val="single"/>
          </w:rPr>
          <w:t>Kiro</w:t>
        </w:r>
      </w:hyperlink>
      <w:r>
        <w:t xml:space="preserve"> is AWS's spec-driven agentic development tool, available as both an IDE and a CLI. Its control surface — steering files, agent hooks, structured specifications, a capability-based permissions model, and MCP integrations — maps directly to the control mechanisms the Agentic AI Lens recommends. When you encode lens recommendations into Kiro's configuration, compliance becomes a side effect of normal development rather than a separate review step.</w:t>
      </w:r>
      <w:r/>
    </w:p>
    <w:p>
      <w:r/>
      <w:r>
        <w:t>This post shows how to do it, pillar by pillar.</w:t>
      </w:r>
      <w:r/>
      <w:r/>
    </w:p>
    <w:p>
      <w:r/>
      <w:r>
        <w:rPr>
          <w:b/>
        </w:rPr>
        <w:t>A note on versions:</w:t>
      </w:r>
      <w:r>
        <w:t xml:space="preserve"> The Kiro configuration examples in this post (hook file format, trigger names, and the permissions model) target </w:t>
      </w:r>
      <w:r>
        <w:rPr>
          <w:b/>
        </w:rPr>
        <w:t>Kiro CLI 3.0 / IDE 1.0</w:t>
      </w:r>
      <w:r>
        <w:t xml:space="preserve">, where hooks live in standalone </w:t>
      </w:r>
      <w:r>
        <w:rPr>
          <w:rFonts w:ascii="Courier" w:hAnsi="Courier"/>
        </w:rPr>
        <w:t>.kiro/hooks/*.json</w:t>
      </w:r>
      <w:r>
        <w:t xml:space="preserve"> files with PascalCase trigger names and tool access is expressed through the capability-based permissions model. Earlier CLI versions (2.x) embedded hooks in the agent config and used </w:t>
      </w:r>
      <w:r>
        <w:rPr>
          <w:rFonts w:ascii="Courier" w:hAnsi="Courier"/>
        </w:rPr>
        <w:t>agentSpawn</w:t>
      </w:r>
      <w:r>
        <w:t xml:space="preserve">-style trigger names, and the older </w:t>
      </w:r>
      <w:r>
        <w:rPr>
          <w:rFonts w:ascii="Courier" w:hAnsi="Courier"/>
        </w:rPr>
        <w:t>toolsSettings</w:t>
      </w:r>
      <w:r>
        <w:t xml:space="preserve"> / </w:t>
      </w:r>
      <w:r>
        <w:rPr>
          <w:rFonts w:ascii="Courier" w:hAnsi="Courier"/>
        </w:rPr>
        <w:t>allowedCommands</w:t>
      </w:r>
      <w:r>
        <w:t xml:space="preserve"> trust model. Kiro is evolving quickly — if you are on a different version, check the </w:t>
      </w:r>
      <w:hyperlink r:id="rId10">
        <w:r>
          <w:rPr>
            <w:color w:val="0000EE"/>
            <w:u w:val="single"/>
          </w:rPr>
          <w:t>Kiro documentation</w:t>
        </w:r>
      </w:hyperlink>
      <w:r>
        <w:t xml:space="preserve"> and the </w:t>
      </w:r>
      <w:hyperlink r:id="rId11">
        <w:r>
          <w:rPr>
            <w:color w:val="0000EE"/>
            <w:u w:val="single"/>
          </w:rPr>
          <w:t>CLI 3.0 migration guide</w:t>
        </w:r>
      </w:hyperlink>
      <w:r>
        <w:t xml:space="preserve"> for the current syntax. One trigger string worth confirming against your own install is the prompt-submit trigger (the docs label it "Prompt Submit"). The pillar-to-feature mapping and the overall approach hold regardless of version; only the exact configuration syntax changes.</w:t>
      </w:r>
      <w:r/>
      <w:r/>
    </w:p>
    <w:p>
      <w:pPr>
        <w:pStyle w:val="Heading2"/>
      </w:pPr>
      <w:r>
        <w:t>The Agentic AI Lens in 60 seconds</w:t>
      </w:r>
      <w:r/>
    </w:p>
    <w:p>
      <w:r/>
      <w:r>
        <w:t>The Agentic AI Lens is organized around six pillars, each addressing a unique characteristic of autonomous AI systems:</w:t>
      </w:r>
      <w:r/>
      <w:r/>
    </w:p>
    <w:p>
      <w:pPr>
        <w:pStyle w:val="ListBullet"/>
        <w:spacing w:line="240" w:lineRule="auto"/>
        <w:ind w:left="720"/>
      </w:pPr>
      <w:r/>
      <w:r>
        <w:rPr>
          <w:b/>
        </w:rPr>
        <w:t>Operational Excellence</w:t>
      </w:r>
      <w:r>
        <w:t>: prompt lifecycle management, behavioral monitoring, human-in-the-loop governance.</w:t>
      </w:r>
      <w:r/>
    </w:p>
    <w:p>
      <w:pPr>
        <w:pStyle w:val="ListBullet"/>
        <w:spacing w:line="240" w:lineRule="auto"/>
        <w:ind w:left="720"/>
      </w:pPr>
      <w:r/>
      <w:r>
        <w:rPr>
          <w:b/>
        </w:rPr>
        <w:t>Security</w:t>
      </w:r>
      <w:r>
        <w:t>: agent identity, tool access authorization, data flow protection, prompt injection defense, privilege escalation prevention.</w:t>
      </w:r>
      <w:r/>
    </w:p>
    <w:p>
      <w:pPr>
        <w:pStyle w:val="ListBullet"/>
        <w:spacing w:line="240" w:lineRule="auto"/>
        <w:ind w:left="720"/>
      </w:pPr>
      <w:r/>
      <w:r>
        <w:rPr>
          <w:b/>
        </w:rPr>
        <w:t>Reliability</w:t>
      </w:r>
      <w:r>
        <w:t>: predictable task execution, automatic failure recovery, graceful degradation under adverse conditions.</w:t>
      </w:r>
      <w:r/>
    </w:p>
    <w:p>
      <w:pPr>
        <w:pStyle w:val="ListBullet"/>
        <w:spacing w:line="240" w:lineRule="auto"/>
        <w:ind w:left="720"/>
      </w:pPr>
      <w:r/>
      <w:r>
        <w:rPr>
          <w:b/>
        </w:rPr>
        <w:t>Performance Efficiency</w:t>
      </w:r>
      <w:r>
        <w:t>: cognitive pipeline optimization, model selection, memory access patterns, multi-agent coordination.</w:t>
      </w:r>
      <w:r/>
    </w:p>
    <w:p>
      <w:pPr>
        <w:pStyle w:val="ListBullet"/>
        <w:spacing w:line="240" w:lineRule="auto"/>
        <w:ind w:left="720"/>
      </w:pPr>
      <w:r/>
      <w:r>
        <w:rPr>
          <w:b/>
        </w:rPr>
        <w:t>Cost Optimization</w:t>
      </w:r>
      <w:r>
        <w:t>: cost as a primary design consideration, right-sizing model and memory capabilities, full cost visibility.</w:t>
      </w:r>
      <w:r/>
    </w:p>
    <w:p>
      <w:pPr>
        <w:pStyle w:val="ListBullet"/>
        <w:spacing w:line="240" w:lineRule="auto"/>
        <w:ind w:left="720"/>
      </w:pPr>
      <w:r/>
      <w:r>
        <w:rPr>
          <w:b/>
        </w:rPr>
        <w:t>Sustainability</w:t>
      </w:r>
      <w:r>
        <w:t>: modular, reusable architectures and resource efficiency.</w:t>
      </w:r>
      <w:r/>
      <w:r/>
    </w:p>
    <w:p>
      <w:r/>
      <w:r>
        <w:t>The key insight: agentic systems need controls at authoring time, not just at runtime. Runtime guardrails (Amazon Bedrock Guardrails, IAM policies, CloudWatch alarms) catch problems after they are built. Author-time controls help prevent them from being built in the first place.</w:t>
      </w:r>
      <w:r/>
    </w:p>
    <w:p>
      <w:pPr>
        <w:pStyle w:val="Heading2"/>
      </w:pPr>
      <w:r>
        <w:t>Kiro's control surface — a quick primer</w:t>
      </w:r>
      <w:r/>
    </w:p>
    <w:p>
      <w:r/>
      <w:r>
        <w:t>Kiro provides four mechanisms that map directly to lens control requirements.</w:t>
      </w:r>
      <w:r/>
    </w:p>
    <w:p>
      <w:pPr>
        <w:pStyle w:val="Heading3"/>
      </w:pPr>
      <w:r>
        <w:t>1. Steering files (</w:t>
      </w:r>
      <w:r>
        <w:rPr>
          <w:rFonts w:ascii="Courier" w:hAnsi="Courier"/>
        </w:rPr>
        <w:t>.kiro/steering/</w:t>
      </w:r>
      <w:r>
        <w:t>)</w:t>
      </w:r>
      <w:r/>
    </w:p>
    <w:p>
      <w:r/>
      <w:hyperlink r:id="rId12">
        <w:r>
          <w:rPr>
            <w:color w:val="0000EE"/>
            <w:u w:val="single"/>
          </w:rPr>
          <w:t>Steering files</w:t>
        </w:r>
      </w:hyperlink>
      <w:r>
        <w:t xml:space="preserve"> are Markdown files that give Kiro persistent knowledge about your project — patterns, standards, constraints. They support optional YAML frontmatter with an </w:t>
      </w:r>
      <w:r>
        <w:rPr>
          <w:rFonts w:ascii="Courier" w:hAnsi="Courier"/>
        </w:rPr>
        <w:t>inclusion</w:t>
      </w:r>
      <w:r>
        <w:t xml:space="preserve"> field. Kiro CLI V3 supports </w:t>
      </w:r>
      <w:r>
        <w:rPr>
          <w:b/>
        </w:rPr>
        <w:t>four</w:t>
      </w:r>
      <w:r>
        <w:t xml:space="preserve"> inclusion modes:</w:t>
      </w:r>
      <w:r/>
      <w:r/>
    </w:p>
    <w:p>
      <w:pPr>
        <w:pStyle w:val="ListBullet"/>
        <w:spacing w:line="240" w:lineRule="auto"/>
        <w:ind w:left="720"/>
      </w:pPr>
      <w:r/>
      <w:r>
        <w:rPr>
          <w:rFonts w:ascii="Courier" w:hAnsi="Courier"/>
        </w:rPr>
        <w:t>always</w:t>
      </w:r>
      <w:r>
        <w:t xml:space="preserve"> (or no frontmatter): loaded into every session.</w:t>
      </w:r>
      <w:r/>
    </w:p>
    <w:p>
      <w:pPr>
        <w:pStyle w:val="ListBullet"/>
        <w:spacing w:line="240" w:lineRule="auto"/>
        <w:ind w:left="720"/>
      </w:pPr>
      <w:r/>
      <w:r>
        <w:rPr>
          <w:rFonts w:ascii="Courier" w:hAnsi="Courier"/>
        </w:rPr>
        <w:t>fileMatch</w:t>
      </w:r>
      <w:r>
        <w:t xml:space="preserve">: loaded only when files matching a </w:t>
      </w:r>
      <w:r>
        <w:rPr>
          <w:rFonts w:ascii="Courier" w:hAnsi="Courier"/>
        </w:rPr>
        <w:t>fileMatchPattern</w:t>
      </w:r>
      <w:r>
        <w:t xml:space="preserve"> are in context.</w:t>
      </w:r>
      <w:r/>
    </w:p>
    <w:p>
      <w:pPr>
        <w:pStyle w:val="ListBullet"/>
        <w:spacing w:line="240" w:lineRule="auto"/>
        <w:ind w:left="720"/>
      </w:pPr>
      <w:r/>
      <w:r>
        <w:rPr>
          <w:rFonts w:ascii="Courier" w:hAnsi="Courier"/>
        </w:rPr>
        <w:t>manual</w:t>
      </w:r>
      <w:r>
        <w:t xml:space="preserve">: loaded only when explicitly referenced (it runs as a </w:t>
      </w:r>
      <w:r>
        <w:rPr>
          <w:rFonts w:ascii="Courier" w:hAnsi="Courier"/>
        </w:rPr>
        <w:t>/&lt;filename&gt;</w:t>
      </w:r>
      <w:r>
        <w:t xml:space="preserve"> slash command, or via </w:t>
      </w:r>
      <w:r>
        <w:rPr>
          <w:rFonts w:ascii="Courier" w:hAnsi="Courier"/>
        </w:rPr>
        <w:t>#filename</w:t>
      </w:r>
      <w:r>
        <w:t xml:space="preserve"> in the IDE).</w:t>
      </w:r>
      <w:r/>
    </w:p>
    <w:p>
      <w:pPr>
        <w:pStyle w:val="ListBullet"/>
        <w:spacing w:line="240" w:lineRule="auto"/>
        <w:ind w:left="720"/>
      </w:pPr>
      <w:r/>
      <w:r>
        <w:rPr>
          <w:rFonts w:ascii="Courier" w:hAnsi="Courier"/>
        </w:rPr>
        <w:t>auto</w:t>
      </w:r>
      <w:r>
        <w:t xml:space="preserve">: loaded automatically when your request matches the file's </w:t>
      </w:r>
      <w:r>
        <w:rPr>
          <w:rFonts w:ascii="Courier" w:hAnsi="Courier"/>
        </w:rPr>
        <w:t>description</w:t>
      </w:r>
      <w:r>
        <w:t xml:space="preserve"> — the same way skills activate. Requires </w:t>
      </w:r>
      <w:r>
        <w:rPr>
          <w:rFonts w:ascii="Courier" w:hAnsi="Courier"/>
        </w:rPr>
        <w:t>name</w:t>
      </w:r>
      <w:r>
        <w:t xml:space="preserve"> and </w:t>
      </w:r>
      <w:r>
        <w:rPr>
          <w:rFonts w:ascii="Courier" w:hAnsi="Courier"/>
        </w:rPr>
        <w:t>description</w:t>
      </w:r>
      <w:r>
        <w:t xml:space="preserve"> fields in the frontmatter.</w:t>
      </w:r>
      <w:r/>
      <w:r/>
    </w:p>
    <w:p>
      <w:r/>
      <w:r>
        <w:t xml:space="preserve">The </w:t>
      </w:r>
      <w:r>
        <w:rPr>
          <w:rFonts w:ascii="Courier" w:hAnsi="Courier"/>
        </w:rPr>
        <w:t>auto</w:t>
      </w:r>
      <w:r>
        <w:t xml:space="preserve"> mode is especially useful for guardrail files: a </w:t>
      </w:r>
      <w:r>
        <w:rPr>
          <w:rFonts w:ascii="Courier" w:hAnsi="Courier"/>
        </w:rPr>
        <w:t>security-guardrails.md</w:t>
      </w:r>
      <w:r>
        <w:t xml:space="preserve"> can load whenever the agent is doing security-relevant work, without the always-on noise of </w:t>
      </w:r>
      <w:r>
        <w:rPr>
          <w:rFonts w:ascii="Courier" w:hAnsi="Courier"/>
        </w:rPr>
        <w:t>always</w:t>
      </w:r>
      <w:r>
        <w:t xml:space="preserve"> or the explicit trigger of </w:t>
      </w:r>
      <w:r>
        <w:rPr>
          <w:rFonts w:ascii="Courier" w:hAnsi="Courier"/>
        </w:rPr>
        <w:t>manual</w:t>
      </w:r>
      <w:r>
        <w:t>.</w:t>
      </w:r>
      <w:r/>
    </w:p>
    <w:p>
      <w:r/>
      <w:r>
        <w:t xml:space="preserve">One thing worth knowing: the built-in default agent loads steering files automatically. A custom agent loads them only if you add the steering path to the agent's </w:t>
      </w:r>
      <w:r>
        <w:rPr>
          <w:rFonts w:ascii="Courier" w:hAnsi="Courier"/>
        </w:rPr>
        <w:t>resources</w:t>
      </w:r>
      <w:r>
        <w:t xml:space="preserve"> (for example, </w:t>
      </w:r>
      <w:r>
        <w:rPr>
          <w:rFonts w:ascii="Courier" w:hAnsi="Courier"/>
        </w:rPr>
        <w:t>file://.kiro/steering/**/*.md</w:t>
      </w:r>
      <w:r>
        <w:t>).</w:t>
      </w:r>
      <w:r/>
    </w:p>
    <w:p>
      <w:r/>
      <w:r>
        <w:t xml:space="preserve">Kiro also honors the cross-tool </w:t>
      </w:r>
      <w:r>
        <w:rPr>
          <w:rFonts w:ascii="Courier" w:hAnsi="Courier"/>
        </w:rPr>
        <w:t>AGENTS.md</w:t>
      </w:r>
      <w:r>
        <w:t xml:space="preserve"> standard — always-included, discoverable per-subdirectory — and supports </w:t>
      </w:r>
      <w:r>
        <w:rPr>
          <w:b/>
        </w:rPr>
        <w:t>global/team steering</w:t>
      </w:r>
      <w:r>
        <w:t xml:space="preserve"> in </w:t>
      </w:r>
      <w:r>
        <w:rPr>
          <w:rFonts w:ascii="Courier" w:hAnsi="Courier"/>
        </w:rPr>
        <w:t>~/.kiro/steering/</w:t>
      </w:r>
      <w:r>
        <w:t>, which we return to later as the mechanism for distributing guardrails org-wide.</w:t>
      </w:r>
      <w:r/>
    </w:p>
    <w:p>
      <w:pPr>
        <w:pStyle w:val="Heading3"/>
      </w:pPr>
      <w:r>
        <w:t>2. Spec-driven development</w:t>
      </w:r>
      <w:r/>
    </w:p>
    <w:p>
      <w:r/>
      <w:r>
        <w:t xml:space="preserve">A </w:t>
      </w:r>
      <w:hyperlink r:id="rId13">
        <w:r>
          <w:rPr>
            <w:color w:val="0000EE"/>
            <w:u w:val="single"/>
          </w:rPr>
          <w:t>three-phase workflow</w:t>
        </w:r>
      </w:hyperlink>
      <w:r>
        <w:t xml:space="preserve">: </w:t>
      </w:r>
      <w:r>
        <w:rPr>
          <w:rFonts w:ascii="Courier" w:hAnsi="Courier"/>
        </w:rPr>
        <w:t>requirements.md</w:t>
      </w:r>
      <w:r>
        <w:t xml:space="preserve"> (what, in EARS format) → </w:t>
      </w:r>
      <w:r>
        <w:rPr>
          <w:rFonts w:ascii="Courier" w:hAnsi="Courier"/>
        </w:rPr>
        <w:t>design.md</w:t>
      </w:r>
      <w:r>
        <w:t xml:space="preserve"> (how, with architecture) → </w:t>
      </w:r>
      <w:r>
        <w:rPr>
          <w:rFonts w:ascii="Courier" w:hAnsi="Courier"/>
        </w:rPr>
        <w:t>tasks.md</w:t>
      </w:r>
      <w:r>
        <w:t xml:space="preserve"> (sequenced implementation steps). Each phase has a review checkpoint. This forces explicit thinking about acceptance criteria, failure modes, and security boundaries before any code is written.</w:t>
      </w:r>
      <w:r/>
    </w:p>
    <w:p>
      <w:pPr>
        <w:pStyle w:val="Heading3"/>
      </w:pPr>
      <w:r>
        <w:t>3. Agent hooks</w:t>
      </w:r>
      <w:r/>
    </w:p>
    <w:p>
      <w:r/>
      <w:r>
        <w:t xml:space="preserve">In Kiro 3.0, </w:t>
      </w:r>
      <w:hyperlink r:id="rId14">
        <w:r>
          <w:rPr>
            <w:color w:val="0000EE"/>
            <w:u w:val="single"/>
          </w:rPr>
          <w:t>hooks</w:t>
        </w:r>
      </w:hyperlink>
      <w:r>
        <w:t xml:space="preserve"> live in standalone JSON files under </w:t>
      </w:r>
      <w:r>
        <w:rPr>
          <w:rFonts w:ascii="Courier" w:hAnsi="Courier"/>
        </w:rPr>
        <w:t>.kiro/hooks/*.json</w:t>
      </w:r>
      <w:r>
        <w:t xml:space="preserve"> (in CLI 2.x they were embedded in the agent config; 3.0 moved them out). Each hook has a </w:t>
      </w:r>
      <w:r>
        <w:rPr>
          <w:rFonts w:ascii="Courier" w:hAnsi="Courier"/>
        </w:rPr>
        <w:t>trigger</w:t>
      </w:r>
      <w:r>
        <w:t xml:space="preserve">, an optional </w:t>
      </w:r>
      <w:r>
        <w:rPr>
          <w:rFonts w:ascii="Courier" w:hAnsi="Courier"/>
        </w:rPr>
        <w:t>matcher</w:t>
      </w:r>
      <w:r>
        <w:t xml:space="preserve">, and an </w:t>
      </w:r>
      <w:r>
        <w:rPr>
          <w:rFonts w:ascii="Courier" w:hAnsi="Courier"/>
        </w:rPr>
        <w:t>action</w:t>
      </w:r>
      <w:r>
        <w:t xml:space="preserve"> that runs a shell command or an agent prompt. CLI V3 also loads global hooks from </w:t>
      </w:r>
      <w:r>
        <w:rPr>
          <w:rFonts w:ascii="Courier" w:hAnsi="Courier"/>
        </w:rPr>
        <w:t>~/.kiro/hooks/</w:t>
      </w:r>
      <w:r>
        <w:t>, so one hook can run across every workspace.</w:t>
      </w:r>
      <w:r/>
    </w:p>
    <w:p>
      <w:r/>
      <w:r>
        <w:t xml:space="preserve">The </w:t>
      </w:r>
      <w:hyperlink r:id="rId15">
        <w:r>
          <w:rPr>
            <w:color w:val="0000EE"/>
            <w:u w:val="single"/>
          </w:rPr>
          <w:t>CLI trigger types</w:t>
        </w:r>
      </w:hyperlink>
      <w:r>
        <w:t xml:space="preserve"> include:</w:t>
      </w:r>
      <w:r/>
      <w:r/>
    </w:p>
    <w:p>
      <w:pPr>
        <w:pStyle w:val="ListBullet"/>
        <w:spacing w:line="240" w:lineRule="auto"/>
        <w:ind w:left="720"/>
      </w:pPr>
      <w:r/>
      <w:r>
        <w:rPr>
          <w:rFonts w:ascii="Courier" w:hAnsi="Courier"/>
        </w:rPr>
        <w:t>SessionStart</w:t>
      </w:r>
      <w:r>
        <w:t xml:space="preserve">: when a new session begins. This is the canonical trigger in CLI V3; </w:t>
      </w:r>
      <w:r>
        <w:rPr>
          <w:rFonts w:ascii="Courier" w:hAnsi="Courier"/>
        </w:rPr>
        <w:t>AgentSpawn</w:t>
      </w:r>
      <w:r>
        <w:t xml:space="preserve"> / </w:t>
      </w:r>
      <w:r>
        <w:rPr>
          <w:rFonts w:ascii="Courier" w:hAnsi="Courier"/>
        </w:rPr>
        <w:t>agentSpawn</w:t>
      </w:r>
      <w:r>
        <w:t xml:space="preserve"> are accepted only as 2.x compatibility spellings (and the CLI surfaces the event as "Agent Spawn").</w:t>
      </w:r>
      <w:r/>
    </w:p>
    <w:p>
      <w:pPr>
        <w:pStyle w:val="ListBullet"/>
        <w:spacing w:line="240" w:lineRule="auto"/>
        <w:ind w:left="720"/>
      </w:pPr>
      <w:r/>
      <w:r>
        <w:rPr>
          <w:rFonts w:ascii="Courier" w:hAnsi="Courier"/>
        </w:rPr>
        <w:t>UserPromptSubmit</w:t>
      </w:r>
      <w:r>
        <w:t xml:space="preserve">: when you submit a message. (Note: in the CLI this trigger </w:t>
      </w:r>
      <w:r>
        <w:rPr>
          <w:b/>
        </w:rPr>
        <w:t>cannot block</w:t>
      </w:r>
      <w:r>
        <w:t xml:space="preserve"> a prompt — only the IDE can block on prompt submit.)</w:t>
      </w:r>
      <w:r/>
    </w:p>
    <w:p>
      <w:pPr>
        <w:pStyle w:val="ListBullet"/>
        <w:spacing w:line="240" w:lineRule="auto"/>
        <w:ind w:left="720"/>
      </w:pPr>
      <w:r/>
      <w:r>
        <w:rPr>
          <w:rFonts w:ascii="Courier" w:hAnsi="Courier"/>
        </w:rPr>
        <w:t>PreToolUse</w:t>
      </w:r>
      <w:r>
        <w:t>: before a tool runs (this one can block the tool).</w:t>
      </w:r>
      <w:r/>
    </w:p>
    <w:p>
      <w:pPr>
        <w:pStyle w:val="ListBullet"/>
        <w:spacing w:line="240" w:lineRule="auto"/>
        <w:ind w:left="720"/>
      </w:pPr>
      <w:r/>
      <w:r>
        <w:rPr>
          <w:rFonts w:ascii="Courier" w:hAnsi="Courier"/>
        </w:rPr>
        <w:t>PostToolUse</w:t>
      </w:r>
      <w:r>
        <w:t>: after a tool runs, with access to tool results.</w:t>
      </w:r>
      <w:r/>
    </w:p>
    <w:p>
      <w:pPr>
        <w:pStyle w:val="ListBullet"/>
        <w:spacing w:line="240" w:lineRule="auto"/>
        <w:ind w:left="720"/>
      </w:pPr>
      <w:r/>
      <w:r>
        <w:rPr>
          <w:rFonts w:ascii="Courier" w:hAnsi="Courier"/>
        </w:rPr>
        <w:t>Stop</w:t>
      </w:r>
      <w:r>
        <w:t xml:space="preserve">: when the agent finishes responding (optionally gated with a </w:t>
      </w:r>
      <w:r>
        <w:rPr>
          <w:rFonts w:ascii="Courier" w:hAnsi="Courier"/>
        </w:rPr>
        <w:t>confirm</w:t>
      </w:r>
      <w:r>
        <w:t xml:space="preserve"> prompt).</w:t>
      </w:r>
      <w:r/>
      <w:r/>
    </w:p>
    <w:p>
      <w:r/>
      <w:r>
        <w:t xml:space="preserve">File-change triggers — </w:t>
      </w:r>
      <w:r>
        <w:rPr>
          <w:rFonts w:ascii="Courier" w:hAnsi="Courier"/>
        </w:rPr>
        <w:t>PostFileSave</w:t>
      </w:r>
      <w:r>
        <w:t xml:space="preserve"> (file create/save) and the file-delete trigger — are available in </w:t>
      </w:r>
      <w:r>
        <w:rPr>
          <w:b/>
        </w:rPr>
        <w:t>both the IDE and CLI V3</w:t>
      </w:r>
      <w:r>
        <w:t xml:space="preserve"> (earlier CLI versions did not have them). You can wire "run a check on every change" either as a file-save hook, or as a </w:t>
      </w:r>
      <w:r>
        <w:rPr>
          <w:rFonts w:ascii="Courier" w:hAnsi="Courier"/>
        </w:rPr>
        <w:t>PostToolUse</w:t>
      </w:r>
      <w:r>
        <w:t xml:space="preserve"> hook matching the </w:t>
      </w:r>
      <w:r>
        <w:rPr>
          <w:rFonts w:ascii="Courier" w:hAnsi="Courier"/>
        </w:rPr>
        <w:t>write</w:t>
      </w:r>
      <w:r>
        <w:t xml:space="preserve"> tool, or as </w:t>
      </w:r>
      <w:r>
        <w:rPr>
          <w:rFonts w:ascii="Courier" w:hAnsi="Courier"/>
        </w:rPr>
        <w:t>PreToolUse</w:t>
      </w:r>
      <w:r>
        <w:t xml:space="preserve"> if you want it to block.</w:t>
      </w:r>
      <w:r/>
    </w:p>
    <w:p>
      <w:r/>
      <w:r>
        <w:t>A hook file looks like this:</w:t>
      </w:r>
      <w:r/>
    </w:p>
    <w:p>
      <w:r/>
      <w:r>
        <w:rPr>
          <w:rFonts w:ascii="Courier" w:hAnsi="Courier"/>
        </w:rPr>
        <w:t>{</w:t>
        <w:br/>
        <w:t xml:space="preserve">  "version": "v1",</w:t>
        <w:br/>
        <w:t xml:space="preserve">  "hooks": [</w:t>
        <w:br/>
        <w:t xml:space="preserve">    {</w:t>
        <w:br/>
        <w:t xml:space="preserve">      "name": "observability-check",</w:t>
        <w:br/>
        <w:t xml:space="preserve">      "trigger": "PostToolUse",</w:t>
        <w:br/>
        <w:t xml:space="preserve">      "matcher": "write",</w:t>
        <w:br/>
        <w:t xml:space="preserve">      "action": { "type": "command", "command": "bash .kiro/scripts/check-observability.sh" },</w:t>
        <w:br/>
        <w:t xml:space="preserve">      "timeout": 30,</w:t>
        <w:br/>
        <w:t xml:space="preserve">      "enabled": true</w:t>
        <w:br/>
        <w:t xml:space="preserve">    }</w:t>
        <w:br/>
        <w:t xml:space="preserve">  ]</w:t>
        <w:br/>
        <w:t>}</w:t>
        <w:br/>
      </w:r>
      <w:r/>
    </w:p>
    <w:p>
      <w:r/>
      <w:r>
        <w:t xml:space="preserve">For </w:t>
      </w:r>
      <w:r>
        <w:rPr>
          <w:rFonts w:ascii="Courier" w:hAnsi="Courier"/>
        </w:rPr>
        <w:t>PreToolUse</w:t>
      </w:r>
      <w:r>
        <w:t xml:space="preserve"> / </w:t>
      </w:r>
      <w:r>
        <w:rPr>
          <w:rFonts w:ascii="Courier" w:hAnsi="Courier"/>
        </w:rPr>
        <w:t>PostToolUse</w:t>
      </w:r>
      <w:r>
        <w:t xml:space="preserve">, the </w:t>
      </w:r>
      <w:r>
        <w:rPr>
          <w:rFonts w:ascii="Courier" w:hAnsi="Courier"/>
        </w:rPr>
        <w:t>matcher</w:t>
      </w:r>
      <w:r>
        <w:t xml:space="preserve"> accepts built-in tool categories — </w:t>
      </w:r>
      <w:r>
        <w:rPr>
          <w:rFonts w:ascii="Courier" w:hAnsi="Courier"/>
        </w:rPr>
        <w:t>read</w:t>
      </w:r>
      <w:r>
        <w:t xml:space="preserve">, </w:t>
      </w:r>
      <w:r>
        <w:rPr>
          <w:rFonts w:ascii="Courier" w:hAnsi="Courier"/>
        </w:rPr>
        <w:t>write</w:t>
      </w:r>
      <w:r>
        <w:t xml:space="preserve">, </w:t>
      </w:r>
      <w:r>
        <w:rPr>
          <w:rFonts w:ascii="Courier" w:hAnsi="Courier"/>
        </w:rPr>
        <w:t>shell</w:t>
      </w:r>
      <w:r>
        <w:t xml:space="preserve">, </w:t>
      </w:r>
      <w:r>
        <w:rPr>
          <w:rFonts w:ascii="Courier" w:hAnsi="Courier"/>
        </w:rPr>
        <w:t>web</w:t>
      </w:r>
      <w:r>
        <w:t xml:space="preserve">, </w:t>
      </w:r>
      <w:r>
        <w:rPr>
          <w:rFonts w:ascii="Courier" w:hAnsi="Courier"/>
        </w:rPr>
        <w:t>spec</w:t>
      </w:r>
      <w:r>
        <w:t xml:space="preserve">, or </w:t>
      </w:r>
      <w:r>
        <w:rPr>
          <w:rFonts w:ascii="Courier" w:hAnsi="Courier"/>
        </w:rPr>
        <w:t>*</w:t>
      </w:r>
      <w:r>
        <w:t xml:space="preserve"> for all tools — as well as source selectors: </w:t>
      </w:r>
      <w:r>
        <w:rPr>
          <w:rFonts w:ascii="Courier" w:hAnsi="Courier"/>
        </w:rPr>
        <w:t>@mcp</w:t>
      </w:r>
      <w:r>
        <w:t xml:space="preserve"> (all MCP tools), </w:t>
      </w:r>
      <w:r>
        <w:rPr>
          <w:rFonts w:ascii="Courier" w:hAnsi="Courier"/>
        </w:rPr>
        <w:t>@builtin</w:t>
      </w:r>
      <w:r>
        <w:t xml:space="preserve"> (all built-in tools), </w:t>
      </w:r>
      <w:r>
        <w:rPr>
          <w:rFonts w:ascii="Courier" w:hAnsi="Courier"/>
        </w:rPr>
        <w:t>@&lt;server&gt;</w:t>
      </w:r>
      <w:r>
        <w:t xml:space="preserve"> (one MCP server), and </w:t>
      </w:r>
      <w:r>
        <w:rPr>
          <w:rFonts w:ascii="Courier" w:hAnsi="Courier"/>
        </w:rPr>
        <w:t>@&lt;server&gt;/&lt;tool&gt;</w:t>
      </w:r>
      <w:r>
        <w:t xml:space="preserve"> (one tool from one server). You can also match a regex against the tool ID, or use </w:t>
      </w:r>
      <w:r>
        <w:rPr>
          <w:rFonts w:ascii="Courier" w:hAnsi="Courier"/>
        </w:rPr>
        <w:t>*</w:t>
      </w:r>
      <w:r>
        <w:t>/</w:t>
      </w:r>
      <w:r>
        <w:rPr>
          <w:rFonts w:ascii="Courier" w:hAnsi="Courier"/>
        </w:rPr>
        <w:t>?</w:t>
      </w:r>
      <w:r>
        <w:t xml:space="preserve"> wildcards in the JSON file.</w:t>
      </w:r>
      <w:r/>
      <w:r/>
    </w:p>
    <w:p>
      <w:r/>
      <w:r>
        <w:rPr>
          <w:b/>
        </w:rPr>
        <w:t>MCP gotcha:</w:t>
      </w:r>
      <w:r>
        <w:t xml:space="preserve"> when a </w:t>
      </w:r>
      <w:r>
        <w:rPr>
          <w:rFonts w:ascii="Courier" w:hAnsi="Courier"/>
        </w:rPr>
        <w:t>PreToolUse</w:t>
      </w:r>
      <w:r>
        <w:t>/</w:t>
      </w:r>
      <w:r>
        <w:rPr>
          <w:rFonts w:ascii="Courier" w:hAnsi="Courier"/>
        </w:rPr>
        <w:t>PostToolUse</w:t>
      </w:r>
      <w:r>
        <w:t xml:space="preserve"> hook targets an MCP tool, V3 matches against the sanitized internal tool ID </w:t>
      </w:r>
      <w:r>
        <w:rPr>
          <w:rFonts w:ascii="Courier" w:hAnsi="Courier"/>
        </w:rPr>
        <w:t>mcp_&lt;server&gt;_&lt;tool&gt;</w:t>
      </w:r>
      <w:r>
        <w:t xml:space="preserve">, not the </w:t>
      </w:r>
      <w:r>
        <w:rPr>
          <w:rFonts w:ascii="Courier" w:hAnsi="Courier"/>
        </w:rPr>
        <w:t>@server/tool</w:t>
      </w:r>
      <w:r>
        <w:t xml:space="preserve"> display name. Use the </w:t>
      </w:r>
      <w:r>
        <w:rPr>
          <w:rFonts w:ascii="Courier" w:hAnsi="Courier"/>
        </w:rPr>
        <w:t>@&lt;server&gt;</w:t>
      </w:r>
      <w:r>
        <w:t xml:space="preserve"> / </w:t>
      </w:r>
      <w:r>
        <w:rPr>
          <w:rFonts w:ascii="Courier" w:hAnsi="Courier"/>
        </w:rPr>
        <w:t>@&lt;server&gt;/&lt;tool&gt;</w:t>
      </w:r>
      <w:r>
        <w:t xml:space="preserve"> selector or a regex against the internal ID.</w:t>
      </w:r>
      <w:r/>
      <w:r/>
    </w:p>
    <w:p>
      <w:r/>
      <w:r>
        <w:t xml:space="preserve">For file-change triggers the </w:t>
      </w:r>
      <w:r>
        <w:rPr>
          <w:rFonts w:ascii="Courier" w:hAnsi="Courier"/>
        </w:rPr>
        <w:t>matcher</w:t>
      </w:r>
      <w:r>
        <w:t xml:space="preserve"> is instead a regex against the file path (e.g. </w:t>
      </w:r>
      <w:r>
        <w:rPr>
          <w:rFonts w:ascii="Courier" w:hAnsi="Courier"/>
        </w:rPr>
        <w:t>"\\.(ts|tsx)$"</w:t>
      </w:r>
      <w:r>
        <w:t xml:space="preserve">). The </w:t>
      </w:r>
      <w:r>
        <w:rPr>
          <w:rFonts w:ascii="Courier" w:hAnsi="Courier"/>
        </w:rPr>
        <w:t>timeout</w:t>
      </w:r>
      <w:r>
        <w:t xml:space="preserve"> field defaults to 60 seconds (</w:t>
      </w:r>
      <w:r>
        <w:rPr>
          <w:rFonts w:ascii="Courier" w:hAnsi="Courier"/>
        </w:rPr>
        <w:t>0</w:t>
      </w:r>
      <w:r>
        <w:t xml:space="preserve"> disables it) and is ignored for agent actions.</w:t>
      </w:r>
      <w:r/>
    </w:p>
    <w:p>
      <w:pPr>
        <w:pStyle w:val="Heading3"/>
      </w:pPr>
      <w:r>
        <w:t>4. MCP integrations</w:t>
      </w:r>
      <w:r/>
    </w:p>
    <w:p>
      <w:r/>
      <w:r>
        <w:t xml:space="preserve">Connect Kiro to private package registries, internal documentation, issue trackers, and infrastructure tooling via the </w:t>
      </w:r>
      <w:hyperlink r:id="rId16">
        <w:r>
          <w:rPr>
            <w:color w:val="0000EE"/>
            <w:u w:val="single"/>
          </w:rPr>
          <w:t>Model Context Protocol (MCP)</w:t>
        </w:r>
      </w:hyperlink>
      <w:r>
        <w:t xml:space="preserve">, configured under </w:t>
      </w:r>
      <w:r>
        <w:rPr>
          <w:rFonts w:ascii="Courier" w:hAnsi="Courier"/>
        </w:rPr>
        <w:t>mcpServers</w:t>
      </w:r>
      <w:r>
        <w:t>. This is how you give an agent controlled, explicit tool access instead of blanket capabilities.</w:t>
      </w:r>
      <w:r/>
    </w:p>
    <w:p>
      <w:pPr>
        <w:pStyle w:val="Heading3"/>
      </w:pPr>
      <w:r>
        <w:t>A note on least-privilege in 3.0</w:t>
      </w:r>
      <w:r/>
    </w:p>
    <w:p>
      <w:r/>
      <w:r>
        <w:t xml:space="preserve">Kiro 3.0 expresses tool access through a capability-based </w:t>
      </w:r>
      <w:hyperlink r:id="rId17">
        <w:r>
          <w:rPr>
            <w:color w:val="0000EE"/>
            <w:u w:val="single"/>
          </w:rPr>
          <w:t>permissions model</w:t>
        </w:r>
      </w:hyperlink>
      <w:r>
        <w:t xml:space="preserve">. You declare capability tags in </w:t>
      </w:r>
      <w:r>
        <w:rPr>
          <w:rFonts w:ascii="Courier" w:hAnsi="Courier"/>
        </w:rPr>
        <w:t>tools</w:t>
      </w:r>
      <w:r>
        <w:t xml:space="preserve"> (like </w:t>
      </w:r>
      <w:r>
        <w:rPr>
          <w:rFonts w:ascii="Courier" w:hAnsi="Courier"/>
        </w:rPr>
        <w:t>read</w:t>
      </w:r>
      <w:r>
        <w:t xml:space="preserve">, </w:t>
      </w:r>
      <w:r>
        <w:rPr>
          <w:rFonts w:ascii="Courier" w:hAnsi="Courier"/>
        </w:rPr>
        <w:t>write</w:t>
      </w:r>
      <w:r>
        <w:t xml:space="preserve">, </w:t>
      </w:r>
      <w:r>
        <w:rPr>
          <w:rFonts w:ascii="Courier" w:hAnsi="Courier"/>
        </w:rPr>
        <w:t>shell</w:t>
      </w:r>
      <w:r>
        <w:t xml:space="preserve">) and constrain them with a </w:t>
      </w:r>
      <w:r>
        <w:rPr>
          <w:rFonts w:ascii="Courier" w:hAnsi="Courier"/>
        </w:rPr>
        <w:t>permissions.rules</w:t>
      </w:r>
      <w:r>
        <w:t xml:space="preserve"> array (or a </w:t>
      </w:r>
      <w:r>
        <w:rPr>
          <w:rFonts w:ascii="Courier" w:hAnsi="Courier"/>
        </w:rPr>
        <w:t>permissions.yaml</w:t>
      </w:r>
      <w:r>
        <w:t xml:space="preserve"> file). Each rule has a </w:t>
      </w:r>
      <w:r>
        <w:rPr>
          <w:rFonts w:ascii="Courier" w:hAnsi="Courier"/>
        </w:rPr>
        <w:t>capability</w:t>
      </w:r>
      <w:r>
        <w:t xml:space="preserve"> (</w:t>
      </w:r>
      <w:r>
        <w:rPr>
          <w:rFonts w:ascii="Courier" w:hAnsi="Courier"/>
        </w:rPr>
        <w:t>fs_read</w:t>
      </w:r>
      <w:r>
        <w:t xml:space="preserve">, </w:t>
      </w:r>
      <w:r>
        <w:rPr>
          <w:rFonts w:ascii="Courier" w:hAnsi="Courier"/>
        </w:rPr>
        <w:t>fs_write</w:t>
      </w:r>
      <w:r>
        <w:t xml:space="preserve">, </w:t>
      </w:r>
      <w:r>
        <w:rPr>
          <w:rFonts w:ascii="Courier" w:hAnsi="Courier"/>
        </w:rPr>
        <w:t>shell</w:t>
      </w:r>
      <w:r>
        <w:t xml:space="preserve">, </w:t>
      </w:r>
      <w:r>
        <w:rPr>
          <w:rFonts w:ascii="Courier" w:hAnsi="Courier"/>
        </w:rPr>
        <w:t>web_fetch</w:t>
      </w:r>
      <w:r>
        <w:t xml:space="preserve">, </w:t>
      </w:r>
      <w:r>
        <w:rPr>
          <w:rFonts w:ascii="Courier" w:hAnsi="Courier"/>
        </w:rPr>
        <w:t>web_search</w:t>
      </w:r>
      <w:r>
        <w:t xml:space="preserve">, </w:t>
      </w:r>
      <w:r>
        <w:rPr>
          <w:rFonts w:ascii="Courier" w:hAnsi="Courier"/>
        </w:rPr>
        <w:t>mcp</w:t>
      </w:r>
      <w:r>
        <w:t xml:space="preserve">, </w:t>
      </w:r>
      <w:r>
        <w:rPr>
          <w:rFonts w:ascii="Courier" w:hAnsi="Courier"/>
        </w:rPr>
        <w:t>subagent</w:t>
      </w:r>
      <w:r>
        <w:t xml:space="preserve">, </w:t>
      </w:r>
      <w:r>
        <w:rPr>
          <w:rFonts w:ascii="Courier" w:hAnsi="Courier"/>
        </w:rPr>
        <w:t>skill</w:t>
      </w:r>
      <w:r>
        <w:t xml:space="preserve">, and others), a </w:t>
      </w:r>
      <w:r>
        <w:rPr>
          <w:rFonts w:ascii="Courier" w:hAnsi="Courier"/>
        </w:rPr>
        <w:t>match</w:t>
      </w:r>
      <w:r>
        <w:t xml:space="preserve"> pattern (and optional </w:t>
      </w:r>
      <w:r>
        <w:rPr>
          <w:rFonts w:ascii="Courier" w:hAnsi="Courier"/>
        </w:rPr>
        <w:t>exclude</w:t>
      </w:r>
      <w:r>
        <w:t xml:space="preserve">), and an </w:t>
      </w:r>
      <w:r>
        <w:rPr>
          <w:rFonts w:ascii="Courier" w:hAnsi="Courier"/>
          <w:b/>
        </w:rPr>
        <w:t>effect</w:t>
      </w:r>
      <w:r>
        <w:t>.</w:t>
      </w:r>
      <w:r/>
    </w:p>
    <w:p>
      <w:r/>
      <w:r>
        <w:t xml:space="preserve">Crucially, there are </w:t>
      </w:r>
      <w:r>
        <w:rPr>
          <w:b/>
        </w:rPr>
        <w:t>three</w:t>
      </w:r>
      <w:r>
        <w:t xml:space="preserve"> effects, not two:</w:t>
      </w:r>
      <w:r/>
      <w:r/>
    </w:p>
    <w:p>
      <w:pPr>
        <w:pStyle w:val="ListBullet"/>
        <w:spacing w:line="240" w:lineRule="auto"/>
        <w:ind w:left="720"/>
      </w:pPr>
      <w:r/>
      <w:r>
        <w:rPr>
          <w:rFonts w:ascii="Courier" w:hAnsi="Courier"/>
        </w:rPr>
        <w:t>deny</w:t>
      </w:r>
      <w:r>
        <w:t xml:space="preserve"> — block always.</w:t>
      </w:r>
      <w:r/>
    </w:p>
    <w:p>
      <w:pPr>
        <w:pStyle w:val="ListBullet"/>
        <w:spacing w:line="240" w:lineRule="auto"/>
        <w:ind w:left="720"/>
      </w:pPr>
      <w:r/>
      <w:r>
        <w:rPr>
          <w:rFonts w:ascii="Courier" w:hAnsi="Courier"/>
        </w:rPr>
        <w:t>ask</w:t>
      </w:r>
      <w:r>
        <w:t xml:space="preserve"> — prompt the human before proceeding.</w:t>
      </w:r>
      <w:r/>
    </w:p>
    <w:p>
      <w:pPr>
        <w:pStyle w:val="ListBullet"/>
        <w:spacing w:line="240" w:lineRule="auto"/>
        <w:ind w:left="720"/>
      </w:pPr>
      <w:r/>
      <w:r>
        <w:rPr>
          <w:rFonts w:ascii="Courier" w:hAnsi="Courier"/>
        </w:rPr>
        <w:t>allow</w:t>
      </w:r>
      <w:r>
        <w:t xml:space="preserve"> — proceed silently.</w:t>
      </w:r>
      <w:r/>
      <w:r/>
    </w:p>
    <w:p>
      <w:r/>
      <w:r>
        <w:t xml:space="preserve">Rules are evaluated with a </w:t>
      </w:r>
      <w:r>
        <w:rPr>
          <w:b/>
        </w:rPr>
        <w:t>deny-overrides</w:t>
      </w:r>
      <w:r>
        <w:t xml:space="preserve"> algorithm (</w:t>
      </w:r>
      <w:r>
        <w:rPr>
          <w:rFonts w:ascii="Courier" w:hAnsi="Courier"/>
        </w:rPr>
        <w:t>deny</w:t>
      </w:r>
      <w:r>
        <w:t xml:space="preserve"> &gt; </w:t>
      </w:r>
      <w:r>
        <w:rPr>
          <w:rFonts w:ascii="Courier" w:hAnsi="Courier"/>
        </w:rPr>
        <w:t>ask</w:t>
      </w:r>
      <w:r>
        <w:t xml:space="preserve"> &gt; </w:t>
      </w:r>
      <w:r>
        <w:rPr>
          <w:rFonts w:ascii="Courier" w:hAnsi="Courier"/>
        </w:rPr>
        <w:t>allow</w:t>
      </w:r>
      <w:r>
        <w:t xml:space="preserve">), and a </w:t>
      </w:r>
      <w:r>
        <w:rPr>
          <w:rFonts w:ascii="Courier" w:hAnsi="Courier"/>
        </w:rPr>
        <w:t>deny</w:t>
      </w:r>
      <w:r>
        <w:t xml:space="preserve"> in any scope wins regardless of allow rules elsewhere. The </w:t>
      </w:r>
      <w:r>
        <w:rPr>
          <w:rFonts w:ascii="Courier" w:hAnsi="Courier"/>
        </w:rPr>
        <w:t>ask</w:t>
      </w:r>
      <w:r>
        <w:t xml:space="preserve"> effect is the native human-in-the-loop primitive — it is how you enforce the lens's "mutating operations require human approval" directly, rather than hoping the model honors a prose rule. This capability-based model replaces the older </w:t>
      </w:r>
      <w:r>
        <w:rPr>
          <w:rFonts w:ascii="Courier" w:hAnsi="Courier"/>
        </w:rPr>
        <w:t>toolsSettings</w:t>
      </w:r>
      <w:r>
        <w:t xml:space="preserve"> / </w:t>
      </w:r>
      <w:r>
        <w:rPr>
          <w:rFonts w:ascii="Courier" w:hAnsi="Courier"/>
        </w:rPr>
        <w:t>allowedCommands</w:t>
      </w:r>
      <w:r>
        <w:t xml:space="preserve"> approach and is the cleanest way to scope an agent to least privilege.</w:t>
      </w:r>
      <w:r/>
    </w:p>
    <w:p>
      <w:pPr>
        <w:pStyle w:val="Heading2"/>
      </w:pPr>
      <w:r>
        <w:t>Mapping the six pillars to Kiro features</w:t>
      </w:r>
      <w:r/>
    </w:p>
    <w:tbl>
      <w:tblPr>
        <w:tblW w:type="auto" w:w="0"/>
        <w:tblLook w:firstColumn="1" w:firstRow="1" w:lastColumn="0" w:lastRow="0" w:noHBand="0" w:noVBand="1" w:val="04A0"/>
      </w:tblPr>
      <w:tblGrid>
        <w:gridCol w:w="2880"/>
        <w:gridCol w:w="2880"/>
        <w:gridCol w:w="2880"/>
      </w:tblGrid>
      <w:tr>
        <w:tc>
          <w:tcPr>
            <w:tcW w:type="dxa" w:w="2880"/>
          </w:tcPr>
          <w:p>
            <w:r>
              <w:rPr>
                <w:b/>
              </w:rPr>
              <w:t>Lens pillar</w:t>
            </w:r>
          </w:p>
        </w:tc>
        <w:tc>
          <w:tcPr>
            <w:tcW w:type="dxa" w:w="2880"/>
          </w:tcPr>
          <w:p>
            <w:r>
              <w:rPr>
                <w:b/>
              </w:rPr>
              <w:t>Kiro feature</w:t>
            </w:r>
          </w:p>
        </w:tc>
        <w:tc>
          <w:tcPr>
            <w:tcW w:type="dxa" w:w="2880"/>
          </w:tcPr>
          <w:p>
            <w:r>
              <w:rPr>
                <w:b/>
              </w:rPr>
              <w:t>What I use it for</w:t>
            </w:r>
          </w:p>
        </w:tc>
      </w:tr>
      <w:tr>
        <w:tc>
          <w:tcPr>
            <w:tcW w:type="dxa" w:w="2880"/>
          </w:tcPr>
          <w:p>
            <w:r>
              <w:t>Operational Excellence</w:t>
            </w:r>
          </w:p>
        </w:tc>
        <w:tc>
          <w:tcPr>
            <w:tcW w:type="dxa" w:w="2880"/>
          </w:tcPr>
          <w:p>
            <w:r>
              <w:t>Steering + Specs + Hooks</w:t>
            </w:r>
          </w:p>
        </w:tc>
        <w:tc>
          <w:tcPr>
            <w:tcW w:type="dxa" w:w="2880"/>
          </w:tcPr>
          <w:p>
            <w:r>
              <w:t>Observability standards, deployment/rollback expectations, prompt versioning</w:t>
            </w:r>
          </w:p>
        </w:tc>
      </w:tr>
      <w:tr>
        <w:tc>
          <w:tcPr>
            <w:tcW w:type="dxa" w:w="2880"/>
          </w:tcPr>
          <w:p>
            <w:r>
              <w:t>Security</w:t>
            </w:r>
          </w:p>
        </w:tc>
        <w:tc>
          <w:tcPr>
            <w:tcW w:type="dxa" w:w="2880"/>
          </w:tcPr>
          <w:p>
            <w:r>
              <w:t>Steering + Permissions + Hooks + MCP</w:t>
            </w:r>
          </w:p>
        </w:tc>
        <w:tc>
          <w:tcPr>
            <w:tcW w:type="dxa" w:w="2880"/>
          </w:tcPr>
          <w:p>
            <w:r>
              <w:t xml:space="preserve">Least-privilege tool access, </w:t>
            </w:r>
            <w:r>
              <w:rPr>
                <w:rFonts w:ascii="Courier" w:hAnsi="Courier"/>
              </w:rPr>
              <w:t>ask</w:t>
            </w:r>
            <w:r>
              <w:t xml:space="preserve"> /HITL on mutations, credential scanning, prompt-injection defenses, scoped MCP tooling</w:t>
            </w:r>
          </w:p>
        </w:tc>
      </w:tr>
      <w:tr>
        <w:tc>
          <w:tcPr>
            <w:tcW w:type="dxa" w:w="2880"/>
          </w:tcPr>
          <w:p>
            <w:r>
              <w:t>Reliability</w:t>
            </w:r>
          </w:p>
        </w:tc>
        <w:tc>
          <w:tcPr>
            <w:tcW w:type="dxa" w:w="2880"/>
          </w:tcPr>
          <w:p>
            <w:r>
              <w:t>Specs + Hooks</w:t>
            </w:r>
          </w:p>
        </w:tc>
        <w:tc>
          <w:tcPr>
            <w:tcW w:type="dxa" w:w="2880"/>
          </w:tcPr>
          <w:p>
            <w:r>
              <w:t>Graceful-degradation acceptance criteria, edge-case tests, error-handling enforcement</w:t>
            </w:r>
          </w:p>
        </w:tc>
      </w:tr>
      <w:tr>
        <w:tc>
          <w:tcPr>
            <w:tcW w:type="dxa" w:w="2880"/>
          </w:tcPr>
          <w:p>
            <w:r>
              <w:t>Performance Efficiency</w:t>
            </w:r>
          </w:p>
        </w:tc>
        <w:tc>
          <w:tcPr>
            <w:tcW w:type="dxa" w:w="2880"/>
          </w:tcPr>
          <w:p>
            <w:r>
              <w:t>Steering + Specs + Hooks</w:t>
            </w:r>
          </w:p>
        </w:tc>
        <w:tc>
          <w:tcPr>
            <w:tcW w:type="dxa" w:w="2880"/>
          </w:tcPr>
          <w:p>
            <w:r>
              <w:t>Model-selection guidance, latency budgets in design docs, perf checks</w:t>
            </w:r>
          </w:p>
        </w:tc>
      </w:tr>
      <w:tr>
        <w:tc>
          <w:tcPr>
            <w:tcW w:type="dxa" w:w="2880"/>
          </w:tcPr>
          <w:p>
            <w:r>
              <w:t>Cost Optimization</w:t>
            </w:r>
          </w:p>
        </w:tc>
        <w:tc>
          <w:tcPr>
            <w:tcW w:type="dxa" w:w="2880"/>
          </w:tcPr>
          <w:p>
            <w:r>
              <w:t>Steering + Specs + Hooks</w:t>
            </w:r>
          </w:p>
        </w:tc>
        <w:tc>
          <w:tcPr>
            <w:tcW w:type="dxa" w:w="2880"/>
          </w:tcPr>
          <w:p>
            <w:r>
              <w:t xml:space="preserve">Token budgets, explicit </w:t>
            </w:r>
            <w:r>
              <w:rPr>
                <w:rFonts w:ascii="Courier" w:hAnsi="Courier"/>
              </w:rPr>
              <w:t>max_tokens</w:t>
            </w:r>
            <w:r>
              <w:t xml:space="preserve"> , cost estimation in design</w:t>
            </w:r>
          </w:p>
        </w:tc>
      </w:tr>
      <w:tr>
        <w:tc>
          <w:tcPr>
            <w:tcW w:type="dxa" w:w="2880"/>
          </w:tcPr>
          <w:p>
            <w:r>
              <w:t>Sustainability</w:t>
            </w:r>
          </w:p>
        </w:tc>
        <w:tc>
          <w:tcPr>
            <w:tcW w:type="dxa" w:w="2880"/>
          </w:tcPr>
          <w:p>
            <w:r>
              <w:t>Specs + Steering</w:t>
            </w:r>
          </w:p>
        </w:tc>
        <w:tc>
          <w:tcPr>
            <w:tcW w:type="dxa" w:w="2880"/>
          </w:tcPr>
          <w:p>
            <w:r>
              <w:t>Modular architecture via specs, component-reuse patterns</w:t>
            </w:r>
          </w:p>
        </w:tc>
      </w:tr>
    </w:tbl>
    <w:p>
      <w:r/>
    </w:p>
    <w:p>
      <w:pPr>
        <w:pStyle w:val="Heading3"/>
      </w:pPr>
      <w:r>
        <w:t>Mapping to specific lens best practices</w:t>
      </w:r>
      <w:r/>
    </w:p>
    <w:p>
      <w:r/>
      <w:r>
        <w:t xml:space="preserve">The table above maps </w:t>
      </w:r>
      <w:r>
        <w:rPr>
          <w:i/>
        </w:rPr>
        <w:t>pillar → Kiro feature</w:t>
      </w:r>
      <w:r>
        <w:t xml:space="preserve">. The one below goes a level deeper — </w:t>
      </w:r>
      <w:r>
        <w:rPr>
          <w:i/>
        </w:rPr>
        <w:t>lens best practice → author-time control in Kiro → runtime enforcement</w:t>
      </w:r>
      <w:r>
        <w:t xml:space="preserve"> — so a reviewer can tick off coverage against the lens itself rather than against a general claim of "lens-aligned." The IDs are the leaf best-practice numbers from the lens's own </w:t>
      </w:r>
      <w:hyperlink r:id="rId18">
        <w:r>
          <w:rPr>
            <w:color w:val="0000EE"/>
            <w:u w:val="single"/>
          </w:rPr>
          <w:t>Appendix A: Best practice reference</w:t>
        </w:r>
      </w:hyperlink>
      <w:r>
        <w:t xml:space="preserve"> (41 questions, 150 best practices), not focus-area anchors.</w:t>
      </w:r>
      <w:r/>
    </w:p>
    <w:tbl>
      <w:tblPr>
        <w:tblW w:type="auto" w:w="0"/>
        <w:tblLook w:firstColumn="1" w:firstRow="1" w:lastColumn="0" w:lastRow="0" w:noHBand="0" w:noVBand="1" w:val="04A0"/>
      </w:tblPr>
      <w:tblGrid>
        <w:gridCol w:w="1728"/>
        <w:gridCol w:w="1728"/>
        <w:gridCol w:w="1728"/>
        <w:gridCol w:w="1728"/>
        <w:gridCol w:w="1728"/>
      </w:tblGrid>
      <w:tr>
        <w:tc>
          <w:tcPr>
            <w:tcW w:type="dxa" w:w="1728"/>
          </w:tcPr>
          <w:p>
            <w:r>
              <w:rPr>
                <w:b/>
              </w:rPr>
              <w:t>Pillar</w:t>
            </w:r>
          </w:p>
        </w:tc>
        <w:tc>
          <w:tcPr>
            <w:tcW w:type="dxa" w:w="1728"/>
          </w:tcPr>
          <w:p>
            <w:r>
              <w:rPr>
                <w:b/>
              </w:rPr>
              <w:t>Lens best practices (leaf IDs)</w:t>
            </w:r>
          </w:p>
        </w:tc>
        <w:tc>
          <w:tcPr>
            <w:tcW w:type="dxa" w:w="1728"/>
          </w:tcPr>
          <w:p>
            <w:r>
              <w:rPr>
                <w:b/>
              </w:rPr>
              <w:t>Kiro author-time control</w:t>
            </w:r>
          </w:p>
        </w:tc>
        <w:tc>
          <w:tcPr>
            <w:tcW w:type="dxa" w:w="1728"/>
          </w:tcPr>
          <w:p>
            <w:r>
              <w:rPr>
                <w:b/>
              </w:rPr>
              <w:t>Runtime enforcement</w:t>
            </w:r>
          </w:p>
        </w:tc>
        <w:tc>
          <w:tcPr>
            <w:tcW w:type="dxa" w:w="1728"/>
          </w:tcPr>
          <w:p>
            <w:r>
              <w:rPr>
                <w:b/>
              </w:rPr>
              <w:t>Priority (lens risk)</w:t>
            </w:r>
          </w:p>
        </w:tc>
      </w:tr>
      <w:tr>
        <w:tc>
          <w:tcPr>
            <w:tcW w:type="dxa" w:w="1728"/>
          </w:tcPr>
          <w:p>
            <w:r>
              <w:t>Operational Excellence</w:t>
            </w:r>
          </w:p>
        </w:tc>
        <w:tc>
          <w:tcPr>
            <w:tcW w:type="dxa" w:w="1728"/>
          </w:tcPr>
          <w:p>
            <w:r>
              <w:t>AGENTOPS01-BP01 (roles &amp; success criteria), -BP02 (handoff + HITL escalation); AGENTOPS02-BP03 (behavior versioning &amp; rollback); AGENTOPS05-BP01 (end-to-end tracing), -BP03 (structured logging &amp; audit trails); AGENTOPS06-BP01 (multi-layered testing), -BP02 (ongoing evaluation)</w:t>
            </w:r>
          </w:p>
        </w:tc>
        <w:tc>
          <w:tcPr>
            <w:tcW w:type="dxa" w:w="1728"/>
          </w:tcPr>
          <w:p>
            <w:r>
              <w:t xml:space="preserve">Specs define roles, success criteria &amp; handoffs; spec workflow + steering gate prompt versioning/rollback; steering mandates structured logging + X-Ray trace IDs; </w:t>
            </w:r>
            <w:r>
              <w:rPr>
                <w:rFonts w:ascii="Courier" w:hAnsi="Courier"/>
              </w:rPr>
              <w:t>PostToolUse</w:t>
            </w:r>
            <w:r>
              <w:t xml:space="preserve"> observability hook; eval gate as </w:t>
            </w:r>
            <w:r>
              <w:rPr>
                <w:rFonts w:ascii="Courier" w:hAnsi="Courier"/>
              </w:rPr>
              <w:t>Stop</w:t>
            </w:r>
            <w:r>
              <w:t xml:space="preserve"> / </w:t>
            </w:r>
            <w:r>
              <w:rPr>
                <w:rFonts w:ascii="Courier" w:hAnsi="Courier"/>
              </w:rPr>
              <w:t>PostToolUse</w:t>
            </w:r>
            <w:r>
              <w:t xml:space="preserve"> hook</w:t>
            </w:r>
          </w:p>
        </w:tc>
        <w:tc>
          <w:tcPr>
            <w:tcW w:type="dxa" w:w="1728"/>
          </w:tcPr>
          <w:p>
            <w:r>
              <w:t>AgentCore Observability (distributed tracing); AgentCore Evaluations; CloudWatch</w:t>
            </w:r>
          </w:p>
        </w:tc>
        <w:tc>
          <w:tcPr>
            <w:tcW w:type="dxa" w:w="1728"/>
          </w:tcPr>
          <w:p>
            <w:r>
              <w:rPr>
                <w:b/>
              </w:rPr>
              <w:t>All High</w:t>
            </w:r>
          </w:p>
        </w:tc>
      </w:tr>
      <w:tr>
        <w:tc>
          <w:tcPr>
            <w:tcW w:type="dxa" w:w="1728"/>
          </w:tcPr>
          <w:p>
            <w:r>
              <w:t>Security</w:t>
            </w:r>
          </w:p>
        </w:tc>
        <w:tc>
          <w:tcPr>
            <w:tcW w:type="dxa" w:w="1728"/>
          </w:tcPr>
          <w:p>
            <w:r>
              <w:t>AGENTSEC02-BP01 (tool authorization), -BP02 (validate tool I/O); AGENTSEC03-BP02 (separate agent/human perms), -BP03 (least privilege w/ dynamic boundaries); AGENTSEC04-BP02 (HITL for critical decisions); AGENTSEC08-BP01 (input validation + prompt-injection defense), -BP02 (output filtering); AGENTSEC01-BP01/-BP02 (memory isolation + sanitize memory inputs)</w:t>
            </w:r>
          </w:p>
        </w:tc>
        <w:tc>
          <w:tcPr>
            <w:tcW w:type="dxa" w:w="1728"/>
          </w:tcPr>
          <w:p>
            <w:r>
              <w:t xml:space="preserve">Permissions model ( </w:t>
            </w:r>
            <w:r>
              <w:rPr>
                <w:rFonts w:ascii="Courier" w:hAnsi="Courier"/>
              </w:rPr>
              <w:t>fs_*</w:t>
            </w:r>
            <w:r>
              <w:t xml:space="preserve"> / </w:t>
            </w:r>
            <w:r>
              <w:rPr>
                <w:rFonts w:ascii="Courier" w:hAnsi="Courier"/>
              </w:rPr>
              <w:t>shell</w:t>
            </w:r>
            <w:r>
              <w:t xml:space="preserve"> / </w:t>
            </w:r>
            <w:r>
              <w:rPr>
                <w:rFonts w:ascii="Courier" w:hAnsi="Courier"/>
              </w:rPr>
              <w:t>mcp</w:t>
            </w:r>
            <w:r>
              <w:t xml:space="preserve"> rules, least-privilege, </w:t>
            </w:r>
            <w:r>
              <w:rPr>
                <w:rFonts w:ascii="Courier" w:hAnsi="Courier"/>
              </w:rPr>
              <w:t>ask</w:t>
            </w:r>
            <w:r>
              <w:t xml:space="preserve"> on mutations); scoped MCP per agent; steering (injection defense, credential handling); </w:t>
            </w:r>
            <w:r>
              <w:rPr>
                <w:rFonts w:ascii="Courier" w:hAnsi="Courier"/>
              </w:rPr>
              <w:t>PreToolUse</w:t>
            </w:r>
            <w:r>
              <w:t xml:space="preserve"> credential-scan hook (blocks)</w:t>
            </w:r>
          </w:p>
        </w:tc>
        <w:tc>
          <w:tcPr>
            <w:tcW w:type="dxa" w:w="1728"/>
          </w:tcPr>
          <w:p>
            <w:r>
              <w:t>AgentCore Identity (strong auth AGENTSEC03-BP01 + identity propagation); AgentCore Policy (Cedar-based tool-call authorization); Bedrock Guardrails (AGENTSEC08)</w:t>
            </w:r>
          </w:p>
        </w:tc>
        <w:tc>
          <w:tcPr>
            <w:tcW w:type="dxa" w:w="1728"/>
          </w:tcPr>
          <w:p>
            <w:r>
              <w:rPr>
                <w:b/>
              </w:rPr>
              <w:t>All High</w:t>
            </w:r>
          </w:p>
        </w:tc>
      </w:tr>
      <w:tr>
        <w:tc>
          <w:tcPr>
            <w:tcW w:type="dxa" w:w="1728"/>
          </w:tcPr>
          <w:p>
            <w:r>
              <w:t>Reliability</w:t>
            </w:r>
          </w:p>
        </w:tc>
        <w:tc>
          <w:tcPr>
            <w:tcW w:type="dxa" w:w="1728"/>
          </w:tcPr>
          <w:p>
            <w:r>
              <w:t>AGENTREL02-BP01 (atomic tasks), -BP02 (minimum permissions), -BP04 (instruction protocols), -BP05 (tiered human oversight); AGENTREL06-BP02 (legacy fallback), -BP04 (idempotent execution); AGENTREL07-BP02 (automatic recovery)</w:t>
            </w:r>
          </w:p>
        </w:tc>
        <w:tc>
          <w:tcPr>
            <w:tcW w:type="dxa" w:w="1728"/>
          </w:tcPr>
          <w:p>
            <w:r>
              <w:t>Specs capture EARS reliability criteria (circuit breaker, fallback model, bounded retries, idempotency); hooks run property-based + edge-case tests</w:t>
            </w:r>
          </w:p>
        </w:tc>
        <w:tc>
          <w:tcPr>
            <w:tcW w:type="dxa" w:w="1728"/>
          </w:tcPr>
          <w:p>
            <w:r>
              <w:t>AgentCore Runtime; Bedrock model fallback chains</w:t>
            </w:r>
          </w:p>
        </w:tc>
        <w:tc>
          <w:tcPr>
            <w:tcW w:type="dxa" w:w="1728"/>
          </w:tcPr>
          <w:p>
            <w:r>
              <w:t xml:space="preserve">High; </w:t>
            </w:r>
            <w:r>
              <w:rPr>
                <w:b/>
              </w:rPr>
              <w:t>Medium</w:t>
            </w:r>
            <w:r>
              <w:t xml:space="preserve"> : -BP01 (atomic tasks), -BP04 (instruction protocols)</w:t>
            </w:r>
          </w:p>
        </w:tc>
      </w:tr>
      <w:tr>
        <w:tc>
          <w:tcPr>
            <w:tcW w:type="dxa" w:w="1728"/>
          </w:tcPr>
          <w:p>
            <w:r>
              <w:t>Performance Efficiency</w:t>
            </w:r>
          </w:p>
        </w:tc>
        <w:tc>
          <w:tcPr>
            <w:tcW w:type="dxa" w:w="1728"/>
          </w:tcPr>
          <w:p>
            <w:r>
              <w:t>AGENTPERF02-BP02 (task-appropriate model selection), -BP04 (streaming + TTFT); AGENTPERF01-BP03 (profile end-to-end latency); AGENTPERF03-BP02 (context-window utilization); AGENTPERF05-BP02 (multi-agent collaboration)</w:t>
            </w:r>
          </w:p>
        </w:tc>
        <w:tc>
          <w:tcPr>
            <w:tcW w:type="dxa" w:w="1728"/>
          </w:tcPr>
          <w:p>
            <w:r>
              <w:t xml:space="preserve">Steering sets model-selection principles &amp; latency/TTFT budgets; </w:t>
            </w:r>
            <w:r>
              <w:rPr>
                <w:rFonts w:ascii="Courier" w:hAnsi="Courier"/>
              </w:rPr>
              <w:t>design.md</w:t>
            </w:r>
            <w:r>
              <w:t xml:space="preserve"> records budgets; </w:t>
            </w:r>
            <w:r>
              <w:rPr>
                <w:rFonts w:ascii="Courier" w:hAnsi="Courier"/>
              </w:rPr>
              <w:t>PostToolUse</w:t>
            </w:r>
            <w:r>
              <w:t xml:space="preserve"> perf hook</w:t>
            </w:r>
          </w:p>
        </w:tc>
        <w:tc>
          <w:tcPr>
            <w:tcW w:type="dxa" w:w="1728"/>
          </w:tcPr>
          <w:p>
            <w:r>
              <w:t>AgentCore Runtime; AgentCore Memory (tiered memory / context)</w:t>
            </w:r>
          </w:p>
        </w:tc>
        <w:tc>
          <w:tcPr>
            <w:tcW w:type="dxa" w:w="1728"/>
          </w:tcPr>
          <w:p>
            <w:r>
              <w:rPr>
                <w:b/>
              </w:rPr>
              <w:t>All High</w:t>
            </w:r>
          </w:p>
        </w:tc>
      </w:tr>
      <w:tr>
        <w:tc>
          <w:tcPr>
            <w:tcW w:type="dxa" w:w="1728"/>
          </w:tcPr>
          <w:p>
            <w:r>
              <w:t>Cost Optimization</w:t>
            </w:r>
          </w:p>
        </w:tc>
        <w:tc>
          <w:tcPr>
            <w:tcW w:type="dxa" w:w="1728"/>
          </w:tcPr>
          <w:p>
            <w:r>
              <w:t>AGENTCOST02-BP01 (tiered model selection), -BP02 (token consumption), -BP03 (caching); AGENTCOST03-BP02 (context compression/pruning); AGENTCOST05-BP01 (agent-level cost tracking), -BP02 (distributed cost tracing)</w:t>
            </w:r>
          </w:p>
        </w:tc>
        <w:tc>
          <w:tcPr>
            <w:tcW w:type="dxa" w:w="1728"/>
          </w:tcPr>
          <w:p>
            <w:r>
              <w:t xml:space="preserve">Steering sets token budgets + explicit </w:t>
            </w:r>
            <w:r>
              <w:rPr>
                <w:rFonts w:ascii="Courier" w:hAnsi="Courier"/>
              </w:rPr>
              <w:t>max_tokens</w:t>
            </w:r>
            <w:r>
              <w:t xml:space="preserve"> ; </w:t>
            </w:r>
            <w:r>
              <w:rPr>
                <w:rFonts w:ascii="Courier" w:hAnsi="Courier"/>
              </w:rPr>
              <w:t>design.md</w:t>
            </w:r>
            <w:r>
              <w:t xml:space="preserve"> cost-estimation section; multi-agent steering tags </w:t>
            </w:r>
            <w:r>
              <w:rPr>
                <w:rFonts w:ascii="Courier" w:hAnsi="Courier"/>
              </w:rPr>
              <w:t>agent_id</w:t>
            </w:r>
          </w:p>
        </w:tc>
        <w:tc>
          <w:tcPr>
            <w:tcW w:type="dxa" w:w="1728"/>
          </w:tcPr>
          <w:p>
            <w:r>
              <w:t>AgentCore Observability (cost visibility); AWS cost allocation tags</w:t>
            </w:r>
          </w:p>
        </w:tc>
        <w:tc>
          <w:tcPr>
            <w:tcW w:type="dxa" w:w="1728"/>
          </w:tcPr>
          <w:p>
            <w:r>
              <w:t xml:space="preserve">High; </w:t>
            </w:r>
            <w:r>
              <w:rPr>
                <w:b/>
              </w:rPr>
              <w:t>Medium</w:t>
            </w:r>
            <w:r>
              <w:t xml:space="preserve"> : COST02-BP02 (token consumption), COST05-BP01 (agent-level tracking)</w:t>
            </w:r>
          </w:p>
        </w:tc>
      </w:tr>
      <w:tr>
        <w:tc>
          <w:tcPr>
            <w:tcW w:type="dxa" w:w="1728"/>
          </w:tcPr>
          <w:p>
            <w:r>
              <w:t>Sustainability</w:t>
            </w:r>
          </w:p>
        </w:tc>
        <w:tc>
          <w:tcPr>
            <w:tcW w:type="dxa" w:w="1728"/>
          </w:tcPr>
          <w:p>
            <w:r>
              <w:t>AGENTSUS01-BP05 (specification-driven tasks for frontier/long-running agents), -BP01 (explicit resource boundaries), -BP02 (reusable workflow patterns); AGENTSUS03-BP03 (maintain comprehensive specs), -BP04 (decommission unused agents)</w:t>
            </w:r>
          </w:p>
        </w:tc>
        <w:tc>
          <w:tcPr>
            <w:tcW w:type="dxa" w:w="1728"/>
          </w:tcPr>
          <w:p>
            <w:r>
              <w:t>The spec workflow itself (discrete, documented feature boundaries); steering drives component reuse</w:t>
            </w:r>
          </w:p>
        </w:tc>
        <w:tc>
          <w:tcPr>
            <w:tcW w:type="dxa" w:w="1728"/>
          </w:tcPr>
          <w:p>
            <w:r>
              <w:t>Shared libraries / common base class (architectural); portfolio governance</w:t>
            </w:r>
          </w:p>
        </w:tc>
        <w:tc>
          <w:tcPr>
            <w:tcW w:type="dxa" w:w="1728"/>
          </w:tcPr>
          <w:p>
            <w:r>
              <w:t xml:space="preserve">High; </w:t>
            </w:r>
            <w:r>
              <w:rPr>
                <w:b/>
              </w:rPr>
              <w:t>Medium</w:t>
            </w:r>
            <w:r>
              <w:t xml:space="preserve"> : SUS01-BP02 (reusable patterns), SUS03-BP04 (decommission unused)</w:t>
            </w:r>
          </w:p>
        </w:tc>
      </w:tr>
    </w:tbl>
    <w:p>
      <w:r/>
      <w:r/>
    </w:p>
    <w:p>
      <w:r/>
      <w:r>
        <w:rPr>
          <w:b/>
        </w:rPr>
        <w:t>Provenance &amp; corrections.</w:t>
      </w:r>
      <w:r>
        <w:t xml:space="preserve"> Every ID and risk rating above was read from the lens's Appendix A, which lists all 150 best practices by pillar and focus area with a High/Medium/Low risk rating each. Pulling the leaf IDs corrected three homes that the earlier focus-area-anchor version got wrong: </w:t>
      </w:r>
      <w:r>
        <w:rPr>
          <w:b/>
        </w:rPr>
        <w:t>tool authorization</w:t>
      </w:r>
      <w:r>
        <w:t xml:space="preserve"> lives in AGENTSEC02-BP01 (not AGENTSEC03, which is identity/privilege-escalation); </w:t>
      </w:r>
      <w:r>
        <w:rPr>
          <w:b/>
        </w:rPr>
        <w:t>model selection</w:t>
      </w:r>
      <w:r>
        <w:t xml:space="preserve"> is AGENTPERF02-BP02 (not AGENTPERF05, which is multi-agent orchestration); and the Sustainability thesis maps most precisely to </w:t>
      </w:r>
      <w:r>
        <w:rPr>
          <w:b/>
        </w:rPr>
        <w:t>AGENTSUS01-BP05</w:t>
      </w:r>
      <w:r>
        <w:t xml:space="preserve">, whose title literally endorses "specification-driven tasks for frontier agents and long-running workflows" — a direct lens endorsement of the spec-driven approach this whole post is built on. The </w:t>
      </w:r>
      <w:r>
        <w:rPr>
          <w:b/>
        </w:rPr>
        <w:t>Priority</w:t>
      </w:r>
      <w:r>
        <w:t xml:space="preserve"> column reflects the lens's own risk rating: every practice referenced here is rated High except the four Mediums called out, so a team adopting this incrementally should encode the High-rated controls first.</w:t>
      </w:r>
      <w:r/>
      <w:r/>
    </w:p>
    <w:p>
      <w:r/>
      <w:r>
        <w:t>Let's walk through each pillar.</w:t>
      </w:r>
      <w:r/>
    </w:p>
    <w:p>
      <w:pPr>
        <w:pStyle w:val="Heading2"/>
      </w:pPr>
      <w:r>
        <w:t>Operational Excellence → Steering + Specs + Hooks</w:t>
      </w:r>
      <w:r/>
    </w:p>
    <w:p>
      <w:r/>
      <w:r>
        <w:t>The lens recommends prompt lifecycle management, agent deployment processes, observability and monitoring, and testing and evaluation frameworks.</w:t>
      </w:r>
      <w:r/>
    </w:p>
    <w:p>
      <w:r/>
      <w:r>
        <w:rPr>
          <w:b/>
        </w:rPr>
        <w:t>Steering file:</w:t>
      </w:r>
      <w:r>
        <w:t xml:space="preserve"> </w:t>
      </w:r>
      <w:r>
        <w:rPr>
          <w:rFonts w:ascii="Courier" w:hAnsi="Courier"/>
        </w:rPr>
        <w:t>.kiro/steering/operational-excellence.md</w:t>
      </w:r>
      <w:r/>
    </w:p>
    <w:p>
      <w:r/>
      <w:r>
        <w:rPr>
          <w:rFonts w:ascii="Courier" w:hAnsi="Courier"/>
        </w:rPr>
        <w:t># Operational Excellence Standards</w:t>
        <w:br/>
        <w:br/>
        <w:t>## Observability Requirements</w:t>
        <w:br/>
        <w:t>- Every agent action MUST emit a structured log with: timestamp, action_type,</w:t>
        <w:br/>
        <w:t xml:space="preserve">  model_id, input_token_count, output_token_count, latency_ms, success/failure.</w:t>
        <w:br/>
        <w:t>- All agent interactions MUST be traceable via X-Ray trace IDs.</w:t>
        <w:br/>
        <w:t>- Prompts MUST be versioned. Use a prompt_version field in all invocations.</w:t>
        <w:br/>
        <w:br/>
        <w:t>## Deployment Standards</w:t>
        <w:br/>
        <w:t>- Agent deployments MUST include rollback procedures in the design doc.</w:t>
        <w:br/>
        <w:t>- All prompt changes MUST go through the spec workflow (not direct edits).</w:t>
        <w:br/>
        <w:t>- Canary deployments required for any agent handling &gt;1000 requests/day.</w:t>
        <w:br/>
      </w:r>
      <w:r/>
    </w:p>
    <w:p>
      <w:r/>
      <w:r>
        <w:t xml:space="preserve">To back this up at authoring time, wire a </w:t>
      </w:r>
      <w:r>
        <w:rPr>
          <w:rFonts w:ascii="Courier" w:hAnsi="Courier"/>
        </w:rPr>
        <w:t>PostToolUse</w:t>
      </w:r>
      <w:r>
        <w:t xml:space="preserve"> hook that runs an observability check after file writes. In 3.0 that hook is a standalone file:</w:t>
      </w:r>
      <w:r/>
    </w:p>
    <w:p>
      <w:r/>
      <w:r>
        <w:rPr>
          <w:rFonts w:ascii="Courier" w:hAnsi="Courier"/>
          <w:b/>
        </w:rPr>
        <w:t>.kiro/hooks/observability.json</w:t>
      </w:r>
      <w:r/>
    </w:p>
    <w:p>
      <w:r/>
      <w:r>
        <w:rPr>
          <w:rFonts w:ascii="Courier" w:hAnsi="Courier"/>
        </w:rPr>
        <w:t>{</w:t>
        <w:br/>
        <w:t xml:space="preserve">  "version": "v1",</w:t>
        <w:br/>
        <w:t xml:space="preserve">  "hooks": [</w:t>
        <w:br/>
        <w:t xml:space="preserve">    {</w:t>
        <w:br/>
        <w:t xml:space="preserve">      "name": "observability-check",</w:t>
        <w:br/>
        <w:t xml:space="preserve">      "trigger": "PostToolUse",</w:t>
        <w:br/>
        <w:t xml:space="preserve">      "matcher": "write",</w:t>
        <w:br/>
        <w:t xml:space="preserve">      "action": { "type": "command", "command": "bash .kiro/scripts/check-observability.sh" },</w:t>
        <w:br/>
        <w:t xml:space="preserve">      "timeout": 30,</w:t>
        <w:br/>
        <w:t xml:space="preserve">      "enabled": true</w:t>
        <w:br/>
        <w:t xml:space="preserve">    }</w:t>
        <w:br/>
        <w:t xml:space="preserve">  ]</w:t>
        <w:br/>
        <w:t>}</w:t>
        <w:br/>
      </w:r>
      <w:r/>
    </w:p>
    <w:p>
      <w:r/>
      <w:r>
        <w:t>And the script it calls (</w:t>
      </w:r>
      <w:r>
        <w:rPr>
          <w:rFonts w:ascii="Courier" w:hAnsi="Courier"/>
        </w:rPr>
        <w:t>.kiro/scripts/check-observability.sh</w:t>
      </w:r>
      <w:r>
        <w:t xml:space="preserve">) stays deliberately simple. Note the file enumeration: use </w:t>
      </w:r>
      <w:r>
        <w:rPr>
          <w:rFonts w:ascii="Courier" w:hAnsi="Courier"/>
        </w:rPr>
        <w:t>git status --porcelain</w:t>
      </w:r>
      <w:r>
        <w:t xml:space="preserve"> (or </w:t>
      </w:r>
      <w:r>
        <w:rPr>
          <w:rFonts w:ascii="Courier" w:hAnsi="Courier"/>
        </w:rPr>
        <w:t>git ls-files --others --exclude-standard</w:t>
      </w:r>
      <w:r>
        <w:t xml:space="preserve"> alongside the diff) so that </w:t>
      </w:r>
      <w:r>
        <w:rPr>
          <w:b/>
        </w:rPr>
        <w:t>newly created</w:t>
      </w:r>
      <w:r>
        <w:t xml:space="preserve"> agent files are included — a plain </w:t>
      </w:r>
      <w:r>
        <w:rPr>
          <w:rFonts w:ascii="Courier" w:hAnsi="Courier"/>
        </w:rPr>
        <w:t>git diff</w:t>
      </w:r>
      <w:r>
        <w:t xml:space="preserve"> on the working tree omits untracked files, which is exactly the common case when Kiro has just generated a new agent file.</w:t>
      </w:r>
      <w:r/>
    </w:p>
    <w:p>
      <w:r/>
      <w:r>
        <w:rPr>
          <w:rFonts w:ascii="Courier" w:hAnsi="Courier"/>
        </w:rPr>
        <w:t>#!/usr/bin/env bash</w:t>
        <w:br/>
        <w:t># Flags agent source files that are missing a structured logging pattern.</w:t>
        <w:br/>
        <w:t># Includes untracked (newly created) files, not just modified tracked ones.</w:t>
        <w:br/>
        <w:t>for f in $(git ls-files --modified --others --exclude-standard -- 'src/agents/*'); do</w:t>
        <w:br/>
        <w:t xml:space="preserve">  grep -Lq "structured_log\|emit_metric" "$f" \</w:t>
        <w:br/>
        <w:t xml:space="preserve">    &amp;&amp; echo "WARNING: $f missing structured logging pattern"</w:t>
        <w:br/>
        <w:t>done</w:t>
        <w:br/>
      </w:r>
      <w:r/>
    </w:p>
    <w:p>
      <w:r/>
      <w:r>
        <w:t xml:space="preserve">The hook lives in </w:t>
      </w:r>
      <w:r>
        <w:rPr>
          <w:rFonts w:ascii="Courier" w:hAnsi="Courier"/>
        </w:rPr>
        <w:t>.kiro/hooks/</w:t>
      </w:r>
      <w:r>
        <w:t>; the script is just what the hook runs.</w:t>
      </w:r>
      <w:r/>
    </w:p>
    <w:p>
      <w:pPr>
        <w:pStyle w:val="Heading2"/>
      </w:pPr>
      <w:r>
        <w:t>Security → Steering + Permissions + Hooks + MCP</w:t>
      </w:r>
      <w:r/>
    </w:p>
    <w:p>
      <w:r/>
      <w:r>
        <w:t>The lens recommends tool authorization with least-privilege, prompt injection defense, identity propagation, and human-in-the-loop for mutating operations.</w:t>
      </w:r>
      <w:r/>
    </w:p>
    <w:p>
      <w:r/>
      <w:r>
        <w:rPr>
          <w:b/>
        </w:rPr>
        <w:t>Steering file:</w:t>
      </w:r>
      <w:r>
        <w:t xml:space="preserve"> </w:t>
      </w:r>
      <w:r>
        <w:rPr>
          <w:rFonts w:ascii="Courier" w:hAnsi="Courier"/>
        </w:rPr>
        <w:t>.kiro/steering/security-guardrails.md</w:t>
      </w:r>
      <w:r/>
    </w:p>
    <w:p>
      <w:r/>
      <w:r>
        <w:rPr>
          <w:rFonts w:ascii="Courier" w:hAnsi="Courier"/>
        </w:rPr>
        <w:t># Security Guardrails</w:t>
        <w:br/>
        <w:br/>
        <w:t>## Tool Authorization</w:t>
        <w:br/>
        <w:t>- Agents MUST NOT be granted blanket access to all tools.</w:t>
        <w:br/>
        <w:t>- Each agent MUST have an explicit tool allowlist in its configuration.</w:t>
        <w:br/>
        <w:t>- Mutating operations (write, delete, update) MUST require human approval</w:t>
        <w:br/>
        <w:t xml:space="preserve">  (enforce with an `ask` effect in the permissions model, not prose alone).</w:t>
        <w:br/>
        <w:t>- Tool invocations MUST propagate user identity context.</w:t>
        <w:br/>
        <w:br/>
        <w:t>## Prompt Injection Defense (defense-in-depth)</w:t>
        <w:br/>
        <w:t>- Treat input delimiting as ONE layer, not the primary control.</w:t>
        <w:br/>
        <w:t>- Never embed raw user input directly into tool invocation parameters.</w:t>
        <w:br/>
        <w:t>- Enforce least-privilege tool scoping so a successful injection has limited blast radius.</w:t>
        <w:br/>
        <w:t>- Validate inputs and filter outputs before production (lens AGENTSEC08).</w:t>
        <w:br/>
        <w:t>- Require human approval (`ask`) for any mutation reachable from untrusted input.</w:t>
        <w:br/>
        <w:br/>
        <w:t>## Credential Handling</w:t>
        <w:br/>
        <w:t>- NEVER hardcode credentials, API keys, or secrets in agent code.</w:t>
        <w:br/>
        <w:t>- Use AWS Secrets Manager or SSM Parameter Store for all secrets.</w:t>
        <w:br/>
        <w:t>- Rotate webhook secrets per organizational security policy.</w:t>
        <w:br/>
      </w:r>
      <w:r/>
    </w:p>
    <w:p>
      <w:r/>
      <w:r>
        <w:t xml:space="preserve">Beyond the steering guidance, enforce least-privilege directly in the agent config using the 3.0 </w:t>
      </w:r>
      <w:hyperlink r:id="rId17">
        <w:r>
          <w:rPr>
            <w:color w:val="0000EE"/>
            <w:u w:val="single"/>
          </w:rPr>
          <w:t>permissions model</w:t>
        </w:r>
      </w:hyperlink>
      <w:r>
        <w:t xml:space="preserve">, scoping capabilities to what the agent actually needs — and using </w:t>
      </w:r>
      <w:r>
        <w:rPr>
          <w:rFonts w:ascii="Courier" w:hAnsi="Courier"/>
        </w:rPr>
        <w:t>ask</w:t>
      </w:r>
      <w:r>
        <w:t xml:space="preserve"> (not just </w:t>
      </w:r>
      <w:r>
        <w:rPr>
          <w:rFonts w:ascii="Courier" w:hAnsi="Courier"/>
        </w:rPr>
        <w:t>allow</w:t>
      </w:r>
      <w:r>
        <w:t>/</w:t>
      </w:r>
      <w:r>
        <w:rPr>
          <w:rFonts w:ascii="Courier" w:hAnsi="Courier"/>
        </w:rPr>
        <w:t>deny</w:t>
      </w:r>
      <w:r>
        <w:t>) for operations that should pause for a human:</w:t>
      </w:r>
      <w:r/>
    </w:p>
    <w:p>
      <w:r/>
      <w:r>
        <w:rPr>
          <w:rFonts w:ascii="Courier" w:hAnsi="Courier"/>
        </w:rPr>
        <w:t>{</w:t>
        <w:br/>
        <w:t xml:space="preserve">  "name": "customer-service-agent",</w:t>
        <w:br/>
        <w:t xml:space="preserve">  "model": "claude-sonnet-4",</w:t>
        <w:br/>
        <w:t xml:space="preserve">  "tools": ["read", "write", "shell"],</w:t>
        <w:br/>
        <w:t xml:space="preserve">  "permissions": {</w:t>
        <w:br/>
        <w:t xml:space="preserve">    "rules": [</w:t>
        <w:br/>
        <w:t xml:space="preserve">      { "capability": "fs_read",  "match": ["src/**"],              "effect": "allow" },</w:t>
        <w:br/>
        <w:t xml:space="preserve">      { "capability": "fs_read",  "match": [".env", "secrets/**"],  "effect": "deny"  },</w:t>
        <w:br/>
        <w:t xml:space="preserve">      { "capability": "fs_write", "match": ["src/**"],              "effect": "allow" },</w:t>
        <w:br/>
        <w:t xml:space="preserve">      { "capability": "fs_write", "match": ["migrations/**"],       "effect": "ask"   },</w:t>
        <w:br/>
        <w:t xml:space="preserve">      { "capability": "shell",    "match": ["git status", "npm test*"], "effect": "allow" },</w:t>
        <w:br/>
        <w:t xml:space="preserve">      { "capability": "shell",    "match": ["rm -rf*", "sudo *"],   "effect": "deny"  }</w:t>
        <w:br/>
        <w:t xml:space="preserve">    ]</w:t>
        <w:br/>
        <w:t xml:space="preserve">  }</w:t>
        <w:br/>
        <w:t>}</w:t>
        <w:br/>
      </w:r>
      <w:r/>
    </w:p>
    <w:p>
      <w:r/>
      <w:r>
        <w:t xml:space="preserve">For credential scanning, add a </w:t>
      </w:r>
      <w:r>
        <w:rPr>
          <w:rFonts w:ascii="Courier" w:hAnsi="Courier"/>
        </w:rPr>
        <w:t>PreToolUse</w:t>
      </w:r>
      <w:r>
        <w:t xml:space="preserve"> hook that can block a write if it detects a hardcoded secret:</w:t>
      </w:r>
      <w:r/>
    </w:p>
    <w:p>
      <w:r/>
      <w:r>
        <w:rPr>
          <w:rFonts w:ascii="Courier" w:hAnsi="Courier"/>
        </w:rPr>
        <w:t>{</w:t>
        <w:br/>
        <w:t xml:space="preserve">  "version": "v1",</w:t>
        <w:br/>
        <w:t xml:space="preserve">  "hooks": [</w:t>
        <w:br/>
        <w:t xml:space="preserve">    {</w:t>
        <w:br/>
        <w:t xml:space="preserve">      "name": "scan-credentials",</w:t>
        <w:br/>
        <w:t xml:space="preserve">      "trigger": "PreToolUse",</w:t>
        <w:br/>
        <w:t xml:space="preserve">      "matcher": "write",</w:t>
        <w:br/>
        <w:t xml:space="preserve">      "action": { "type": "command", "command": "bash .kiro/scripts/scan-credentials.sh" },</w:t>
        <w:br/>
        <w:t xml:space="preserve">      "timeout": 15,</w:t>
        <w:br/>
        <w:t xml:space="preserve">      "enabled": true</w:t>
        <w:br/>
        <w:t xml:space="preserve">    }</w:t>
        <w:br/>
        <w:t xml:space="preserve">  ]</w:t>
        <w:br/>
        <w:t>}</w:t>
        <w:br/>
      </w:r>
      <w:r/>
    </w:p>
    <w:p>
      <w:r/>
      <w:r>
        <w:rPr>
          <w:rFonts w:ascii="Courier" w:hAnsi="Courier"/>
          <w:b/>
        </w:rPr>
        <w:t>.kiro/scripts/scan-credentials.sh</w:t>
      </w:r>
      <w:r>
        <w:t xml:space="preserve"> — the regex below is a </w:t>
      </w:r>
      <w:r>
        <w:rPr>
          <w:b/>
        </w:rPr>
        <w:t>placeholder for illustration only</w:t>
      </w:r>
      <w:r>
        <w:t>. A three-token grep misses session tokens (</w:t>
      </w:r>
      <w:r>
        <w:rPr>
          <w:rFonts w:ascii="Courier" w:hAnsi="Courier"/>
        </w:rPr>
        <w:t>ASIA…</w:t>
      </w:r>
      <w:r>
        <w:t xml:space="preserve">), private keys, JWTs, and provider tokens (GitHub/Slack), and false-positives on benign assignments. For a real gate, call a maintained scanner — </w:t>
      </w:r>
      <w:r>
        <w:rPr>
          <w:rFonts w:ascii="Courier" w:hAnsi="Courier"/>
        </w:rPr>
        <w:t>gitleaks</w:t>
      </w:r>
      <w:r>
        <w:t xml:space="preserve">, </w:t>
      </w:r>
      <w:r>
        <w:rPr>
          <w:rFonts w:ascii="Courier" w:hAnsi="Courier"/>
        </w:rPr>
        <w:t>trufflehog</w:t>
      </w:r>
      <w:r>
        <w:t xml:space="preserve">, </w:t>
      </w:r>
      <w:r>
        <w:rPr>
          <w:rFonts w:ascii="Courier" w:hAnsi="Courier"/>
        </w:rPr>
        <w:t>detect-secrets</w:t>
      </w:r>
      <w:r>
        <w:t xml:space="preserve">, or </w:t>
      </w:r>
      <w:r>
        <w:rPr>
          <w:rFonts w:ascii="Courier" w:hAnsi="Courier"/>
        </w:rPr>
        <w:t>git-secrets</w:t>
      </w:r>
      <w:r>
        <w:t xml:space="preserve"> — from this hook. Also note the file enumeration includes untracked files, so a brand-new file with a secret doesn't slip through:</w:t>
      </w:r>
      <w:r/>
    </w:p>
    <w:p>
      <w:r/>
      <w:r>
        <w:rPr>
          <w:rFonts w:ascii="Courier" w:hAnsi="Courier"/>
        </w:rPr>
        <w:t>#!/usr/bin/env bash</w:t>
        <w:br/>
        <w:t># Non-zero exit signals the hook to block the pending tool call.</w:t>
        <w:br/>
        <w:t># PLACEHOLDER regex — replace with gitleaks/trufflehog/detect-secrets in production.</w:t>
        <w:br/>
        <w:t># Includes untracked (newly created) files via --others.</w:t>
        <w:br/>
        <w:t>status=0</w:t>
        <w:br/>
        <w:t>for f in $(git ls-files --modified --others --exclude-standard); do</w:t>
        <w:br/>
        <w:t xml:space="preserve">  if grep -nE "(AKIA|ASIA|aws_secret|-----BEGIN [A-Z ]*PRIVATE KEY-----|password\s*=)" "$f"; then</w:t>
        <w:br/>
        <w:t xml:space="preserve">    echo "BLOCKED: Potential hardcoded credential detected in $f"</w:t>
        <w:br/>
        <w:t xml:space="preserve">    status=1</w:t>
        <w:br/>
        <w:t xml:space="preserve">  fi</w:t>
        <w:br/>
        <w:t>done</w:t>
        <w:br/>
        <w:t>exit $status</w:t>
        <w:br/>
        <w:br/>
        <w:t># Preferred production form:</w:t>
        <w:br/>
        <w:t>#   gitleaks protect --staged --redact --exit-code 1</w:t>
        <w:br/>
      </w:r>
      <w:r/>
    </w:p>
    <w:p>
      <w:r/>
      <w:r>
        <w:t>A note on AI-assisted security review: in the Kiro IDE you can also use the hooks UI to trigger a natural-language review step ("check these changes for blanket tool access, missing identity propagation, or unsanitized input in tool parameters"). In the CLI, the deterministic script-based hooks above are what I rely on as gates, and I run an AI review by prompting Kiro directly at the end of a task rather than treating it as a guaranteed automated gate.</w:t>
      </w:r>
      <w:r/>
    </w:p>
    <w:p>
      <w:pPr>
        <w:pStyle w:val="Heading2"/>
      </w:pPr>
      <w:r>
        <w:t>Reliability → Specs + Hooks</w:t>
      </w:r>
      <w:r/>
    </w:p>
    <w:p>
      <w:r/>
      <w:r>
        <w:t>The lens recommends predictable task execution, automatic failure recovery, graceful degradation, and partial functionality under adverse conditions.</w:t>
      </w:r>
      <w:r/>
    </w:p>
    <w:p>
      <w:r/>
      <w:r>
        <w:rPr>
          <w:b/>
        </w:rPr>
        <w:t>Spec:</w:t>
      </w:r>
      <w:r>
        <w:t xml:space="preserve"> </w:t>
      </w:r>
      <w:r>
        <w:rPr>
          <w:rFonts w:ascii="Courier" w:hAnsi="Courier"/>
        </w:rPr>
        <w:t>requirements.md</w:t>
      </w:r>
      <w:r>
        <w:t xml:space="preserve"> </w:t>
      </w:r>
      <w:r>
        <w:rPr>
          <w:b/>
        </w:rPr>
        <w:t>with reliability criteria in EARS format</w:t>
      </w:r>
      <w:r/>
    </w:p>
    <w:p>
      <w:r/>
      <w:r>
        <w:rPr>
          <w:rFonts w:ascii="Courier" w:hAnsi="Courier"/>
        </w:rPr>
        <w:t># Requirements: Customer Service Agent - Order Lookup</w:t>
        <w:br/>
        <w:br/>
        <w:t>## Acceptance Criteria (Reliability)</w:t>
        <w:br/>
        <w:t>- WHEN the downstream order API is unavailable,</w:t>
        <w:br/>
        <w:t xml:space="preserve">  THE AGENT SHALL inform the user and offer to retry in 30 seconds.</w:t>
        <w:br/>
        <w:t>- WHEN the model returns a timeout,</w:t>
        <w:br/>
        <w:t xml:space="preserve">  THE AGENT SHALL fall back to a smaller model for the response.</w:t>
        <w:br/>
        <w:t>- WHEN token count exceeds 80% of context window,</w:t>
        <w:br/>
        <w:t xml:space="preserve">  THE AGENT SHALL summarize conversation history before proceeding.</w:t>
        <w:br/>
        <w:t>- THE AGENT SHALL implement a circuit-breaker pattern for all external calls</w:t>
        <w:br/>
        <w:t xml:space="preserve">  with max 3 retries and exponential backoff.</w:t>
        <w:br/>
      </w:r>
      <w:r/>
    </w:p>
    <w:p>
      <w:r/>
      <w:r>
        <w:t>From these criteria, you can prompt Kiro to generate property-based tests exercising randomized inputs:</w:t>
      </w:r>
      <w:r/>
    </w:p>
    <w:p>
      <w:r/>
      <w:r>
        <w:rPr>
          <w:rFonts w:ascii="Courier" w:hAnsi="Courier"/>
        </w:rPr>
        <w:t># Prompted from the reliability acceptance criteria above</w:t>
        <w:br/>
        <w:t>@given(st.text(min_size=1, max_size=200000))</w:t>
        <w:br/>
        <w:t>def test_agent_handles_any_input_length(user_input):</w:t>
        <w:br/>
        <w:t xml:space="preserve">    response = agent.process(user_input)</w:t>
        <w:br/>
        <w:t xml:space="preserve">    assert response.status in ("success", "graceful_degradation")</w:t>
        <w:br/>
        <w:t xml:space="preserve">    assert response.latency_ms &lt; 30000</w:t>
        <w:br/>
      </w:r>
      <w:r/>
    </w:p>
    <w:p>
      <w:r/>
      <w:r>
        <w:t xml:space="preserve">To be precise: Kiro does not magically guarantee these tests exist. You prompt for them as part of the </w:t>
      </w:r>
      <w:r>
        <w:rPr>
          <w:rFonts w:ascii="Courier" w:hAnsi="Courier"/>
        </w:rPr>
        <w:t>tasks.md</w:t>
      </w:r>
      <w:r>
        <w:t xml:space="preserve"> breakdown and review what it produces. The value is that the spec makes the reliability expectations explicit enough that generating meaningful tests becomes straightforward.</w:t>
      </w:r>
      <w:r/>
    </w:p>
    <w:p>
      <w:r/>
      <w:r>
        <w:t xml:space="preserve">Because agent behavior is stochastic, deterministic tests are necessary but not sufficient. The lens pairs reliability with </w:t>
      </w:r>
      <w:r>
        <w:rPr>
          <w:b/>
        </w:rPr>
        <w:t>evaluation frameworks and goal-alignment scoring</w:t>
      </w:r>
      <w:r>
        <w:t xml:space="preserve"> (AGENTOPS06). Consider adding an evaluation gate — an LLM-as-judge check, Amazon Bedrock model evaluation, or AgentCore Evaluations — as a </w:t>
      </w:r>
      <w:r>
        <w:rPr>
          <w:rFonts w:ascii="Courier" w:hAnsi="Courier"/>
        </w:rPr>
        <w:t>Stop</w:t>
      </w:r>
      <w:r>
        <w:t xml:space="preserve"> or </w:t>
      </w:r>
      <w:r>
        <w:rPr>
          <w:rFonts w:ascii="Courier" w:hAnsi="Courier"/>
        </w:rPr>
        <w:t>PostToolUse</w:t>
      </w:r>
      <w:r>
        <w:t xml:space="preserve"> hook (or a </w:t>
      </w:r>
      <w:r>
        <w:rPr>
          <w:rFonts w:ascii="Courier" w:hAnsi="Courier"/>
        </w:rPr>
        <w:t>tasks.md</w:t>
      </w:r>
      <w:r>
        <w:t xml:space="preserve"> step) alongside the property tests.</w:t>
      </w:r>
      <w:r/>
    </w:p>
    <w:p>
      <w:pPr>
        <w:pStyle w:val="Heading2"/>
      </w:pPr>
      <w:r>
        <w:t>Performance Efficiency → Steering + Specs + Hooks</w:t>
      </w:r>
      <w:r/>
    </w:p>
    <w:p>
      <w:r/>
      <w:r>
        <w:t>The lens recommends optimizing cognitive pipelines, model selection, memory access, and multi-agent coordination.</w:t>
      </w:r>
      <w:r/>
    </w:p>
    <w:p>
      <w:r/>
      <w:r>
        <w:rPr>
          <w:b/>
        </w:rPr>
        <w:t>Steering file:</w:t>
      </w:r>
      <w:r>
        <w:t xml:space="preserve"> </w:t>
      </w:r>
      <w:r>
        <w:rPr>
          <w:rFonts w:ascii="Courier" w:hAnsi="Courier"/>
        </w:rPr>
        <w:t>.kiro/steering/performance.md</w:t>
      </w:r>
      <w:r/>
    </w:p>
    <w:p>
      <w:r/>
      <w:r>
        <w:rPr>
          <w:rFonts w:ascii="Courier" w:hAnsi="Courier"/>
        </w:rPr>
        <w:t># Performance Efficiency Standards</w:t>
        <w:br/>
        <w:br/>
        <w:t>## Model Selection</w:t>
        <w:br/>
        <w:t>- Use a small/fast model for classification, routing, and simple extraction.</w:t>
        <w:br/>
        <w:t>- Use a mid-tier model for complex reasoning, code generation, multi-step planning.</w:t>
        <w:br/>
        <w:t>- Reserve the largest model for tasks that genuinely need long context or</w:t>
        <w:br/>
        <w:t xml:space="preserve">  expert-level reasoning - and justify it in design.md.</w:t>
        <w:br/>
        <w:t>- Default max_tokens to the expected output size + 20% buffer (NEVER leave unset).</w:t>
        <w:br/>
        <w:br/>
        <w:t>## Latency Budgets</w:t>
        <w:br/>
        <w:t>- Time-to-first-token for user-facing agents: &lt; 2 seconds.</w:t>
        <w:br/>
        <w:t>- End-to-end for tool-calling agents: &lt; 15 seconds per action.</w:t>
        <w:br/>
        <w:t>- Pre-inference pipeline (context assembly): &lt; 500ms.</w:t>
        <w:br/>
      </w:r>
      <w:r/>
    </w:p>
    <w:p>
      <w:r/>
      <w:r>
        <w:t>I keep model names generic on purpose. The specific tiers change over time, so the steering file describes the selection principle rather than pinning a model that will be stale in six months.</w:t>
      </w:r>
      <w:r/>
    </w:p>
    <w:p>
      <w:r/>
      <w:r>
        <w:t xml:space="preserve">A </w:t>
      </w:r>
      <w:r>
        <w:rPr>
          <w:rFonts w:ascii="Courier" w:hAnsi="Courier"/>
        </w:rPr>
        <w:t>PostToolUse</w:t>
      </w:r>
      <w:r>
        <w:t xml:space="preserve"> hook can run the perf suite after changes to agent code:</w:t>
      </w:r>
      <w:r/>
    </w:p>
    <w:p>
      <w:r/>
      <w:r>
        <w:rPr>
          <w:rFonts w:ascii="Courier" w:hAnsi="Courier"/>
          <w:b/>
        </w:rPr>
        <w:t>.kiro/hooks/perf.json</w:t>
      </w:r>
      <w:r/>
    </w:p>
    <w:p>
      <w:r/>
      <w:r>
        <w:rPr>
          <w:rFonts w:ascii="Courier" w:hAnsi="Courier"/>
        </w:rPr>
        <w:t>{</w:t>
        <w:br/>
        <w:t xml:space="preserve">  "version": "v1",</w:t>
        <w:br/>
        <w:t xml:space="preserve">  "hooks": [</w:t>
        <w:br/>
        <w:t xml:space="preserve">    {</w:t>
        <w:br/>
        <w:t xml:space="preserve">      "name": "perf-suite",</w:t>
        <w:br/>
        <w:t xml:space="preserve">      "trigger": "PostToolUse",</w:t>
        <w:br/>
        <w:t xml:space="preserve">      "matcher": "write",</w:t>
        <w:br/>
        <w:t xml:space="preserve">      "action": { "type": "command", "command": "python -m pytest tests/perf/ --timeout=30 -q" },</w:t>
        <w:br/>
        <w:t xml:space="preserve">      "timeout": 60,</w:t>
        <w:br/>
        <w:t xml:space="preserve">      "enabled": true</w:t>
        <w:br/>
        <w:t xml:space="preserve">    }</w:t>
        <w:br/>
        <w:t xml:space="preserve">  ]</w:t>
        <w:br/>
        <w:t>}</w:t>
        <w:br/>
      </w:r>
      <w:r/>
    </w:p>
    <w:p>
      <w:pPr>
        <w:pStyle w:val="Heading2"/>
      </w:pPr>
      <w:r>
        <w:t>Cost Optimization → Steering + Specs + Hooks</w:t>
      </w:r>
      <w:r/>
    </w:p>
    <w:p>
      <w:r/>
      <w:r>
        <w:t>The lens recommends treating cost as a primary consideration, right-sizing model and memory capabilities, and full cost visibility.</w:t>
      </w:r>
      <w:r/>
    </w:p>
    <w:p>
      <w:r/>
      <w:r>
        <w:rPr>
          <w:b/>
        </w:rPr>
        <w:t>Steering file:</w:t>
      </w:r>
      <w:r>
        <w:t xml:space="preserve"> </w:t>
      </w:r>
      <w:r>
        <w:rPr>
          <w:rFonts w:ascii="Courier" w:hAnsi="Courier"/>
        </w:rPr>
        <w:t>.kiro/steering/cost-constraints.md</w:t>
      </w:r>
      <w:r/>
    </w:p>
    <w:p>
      <w:r/>
      <w:r>
        <w:rPr>
          <w:rFonts w:ascii="Courier" w:hAnsi="Courier"/>
        </w:rPr>
        <w:t># Cost Constraints</w:t>
        <w:br/>
        <w:br/>
        <w:t>## Token Budgets</w:t>
        <w:br/>
        <w:t>- Input prompts MUST NOT exceed 4000 tokens for routing agents.</w:t>
        <w:br/>
        <w:t>- Summarization prompts MUST use truncation before hitting 50K input tokens.</w:t>
        <w:br/>
        <w:t>- Always set max_tokens explicitly. NEVER rely on model defaults.</w:t>
        <w:br/>
        <w:br/>
        <w:t>## Model Cost Awareness</w:t>
        <w:br/>
        <w:t>- Larger models cost materially more per token - justify their use in design.md.</w:t>
        <w:br/>
        <w:t>- Batch non-urgent requests where batch inference is available.</w:t>
        <w:br/>
        <w:t>- Cache repeated context (e.g., stable system prompts) where supported.</w:t>
        <w:br/>
      </w:r>
      <w:r/>
    </w:p>
    <w:p>
      <w:r/>
      <w:r>
        <w:t xml:space="preserve">Require every </w:t>
      </w:r>
      <w:r>
        <w:rPr>
          <w:rFonts w:ascii="Courier" w:hAnsi="Courier"/>
        </w:rPr>
        <w:t>design.md</w:t>
      </w:r>
      <w:r>
        <w:t xml:space="preserve"> to include a cost estimation section:</w:t>
      </w:r>
      <w:r/>
    </w:p>
    <w:p>
      <w:r/>
      <w:r>
        <w:rPr>
          <w:rFonts w:ascii="Courier" w:hAnsi="Courier"/>
        </w:rPr>
        <w:t>## Cost Estimation (Required)</w:t>
        <w:br/>
        <w:t>- Estimated requests/day</w:t>
        <w:br/>
        <w:t>- Model tier | approx input tokens | approx output tokens</w:t>
        <w:br/>
        <w:t>- Estimated daily cost and cost per request</w:t>
        <w:br/>
        <w:t>- Optimization opportunities (prompt caching, batching for offline tasks)</w:t>
        <w:br/>
      </w:r>
      <w:r/>
    </w:p>
    <w:p>
      <w:r/>
      <w:r>
        <w:t>Forcing even a rough estimate at design time has caught more than one "why is this using the biggest model for a routing decision?" before it ever shipped.</w:t>
      </w:r>
      <w:r/>
    </w:p>
    <w:p>
      <w:pPr>
        <w:pStyle w:val="Heading2"/>
      </w:pPr>
      <w:r>
        <w:t>Sustainability → Specs + Steering</w:t>
      </w:r>
      <w:r/>
    </w:p>
    <w:p>
      <w:r/>
      <w:r>
        <w:t>The lens recommends modular, reusable architectures. Kiro's spec workflow naturally pushes toward this: each spec defines a discrete, testable feature with explicit boundaries, which counters the monolithic-agent anti-pattern where one agent slowly accumulates every responsibility.</w:t>
      </w:r>
      <w:r/>
    </w:p>
    <w:p>
      <w:r/>
      <w:r>
        <w:rPr>
          <w:b/>
        </w:rPr>
        <w:t>Steering file:</w:t>
      </w:r>
      <w:r>
        <w:t xml:space="preserve"> </w:t>
      </w:r>
      <w:r>
        <w:rPr>
          <w:rFonts w:ascii="Courier" w:hAnsi="Courier"/>
        </w:rPr>
        <w:t>.kiro/steering/sustainability.md</w:t>
      </w:r>
      <w:r/>
    </w:p>
    <w:p>
      <w:r/>
      <w:r>
        <w:rPr>
          <w:rFonts w:ascii="Courier" w:hAnsi="Courier"/>
        </w:rPr>
        <w:t># Sustainability Patterns</w:t>
        <w:br/>
        <w:br/>
        <w:t>## Component Reuse</w:t>
        <w:br/>
        <w:t>- Extract reusable tool-calling patterns into shared libraries.</w:t>
        <w:br/>
        <w:t>- Use a common agent base class with standard logging, error handling, metrics.</w:t>
        <w:br/>
        <w:t>- Share prompt templates via a central registry.</w:t>
        <w:br/>
        <w:br/>
        <w:t>## Resource Efficiency</w:t>
        <w:br/>
        <w:t>- Prefer streaming responses over buffered for user-facing agents.</w:t>
        <w:br/>
        <w:t>- Implement conversation pruning for long-running sessions.</w:t>
        <w:br/>
        <w:t>- Reuse cached system prompts where supported.</w:t>
        <w:br/>
      </w:r>
      <w:r/>
    </w:p>
    <w:p>
      <w:pPr>
        <w:pStyle w:val="Heading2"/>
      </w:pPr>
      <w:r>
        <w:t>Memory governance (cross-cutting) → Steering + Specs</w:t>
      </w:r>
      <w:r/>
    </w:p>
    <w:p>
      <w:r/>
      <w:r>
        <w:t>The lens treats "agents remember" as a distinct architectural dimension: persistent memory enables personalization but introduces data-integrity, privacy, and cost concerns that stateless apps never face. It is addressed across four pillars at once — security (AGENTSEC01: memory isolation and integrity, validating/sanitizing memory inputs), reliability (AGENTREL03: information-classification model for short- vs. long-term memory, fault-tolerant stores), performance (AGENTPERF03: tiered memory management), and cost (AGENTCOST03: compression and pruning of context). The original article touched only conversation pruning; a dedicated steering standard makes the memory contract explicit. The thresholds below are starting defaults — calibrate them to your workload rather than treating the numbers as fixed.</w:t>
      </w:r>
      <w:r/>
    </w:p>
    <w:p>
      <w:r/>
      <w:r>
        <w:rPr>
          <w:b/>
        </w:rPr>
        <w:t>Steering file:</w:t>
      </w:r>
      <w:r>
        <w:t xml:space="preserve"> </w:t>
      </w:r>
      <w:r>
        <w:rPr>
          <w:rFonts w:ascii="Courier" w:hAnsi="Courier"/>
        </w:rPr>
        <w:t>.kiro/steering/memory-governance.md</w:t>
      </w:r>
      <w:r/>
    </w:p>
    <w:p>
      <w:r/>
      <w:r>
        <w:rPr>
          <w:rFonts w:ascii="Courier" w:hAnsi="Courier"/>
        </w:rPr>
        <w:t># Memory Governance Standards</w:t>
        <w:br/>
        <w:br/>
        <w:t>## What may persist</w:t>
        <w:br/>
        <w:t>- Persist only data with a defined business purpose to long-term memory.</w:t>
        <w:br/>
        <w:t>- PII and secrets MUST NOT be written to agent memory; redact before persistence.</w:t>
        <w:br/>
        <w:t>- Prefer attaching a retention/TTL and a source reference to each memory entry.</w:t>
        <w:br/>
        <w:br/>
        <w:t>## Integrity &amp; privacy (AGENTSEC01)</w:t>
        <w:br/>
        <w:t>- Scope memory reads to the requesting user/session identity.</w:t>
        <w:br/>
        <w:t>- Treat stored memory as UNTRUSTED input on read - it is a prompt-injection</w:t>
        <w:br/>
        <w:t xml:space="preserve">  vector. (Lens security design principle: the agent itself is not a trust</w:t>
        <w:br/>
        <w:t xml:space="preserve">  boundary; validate memory reads, tool I/O, and agent-to-agent messages alike.)</w:t>
        <w:br/>
        <w:t>- Provide a deletion path for user-requested erasure (data-subject requests).</w:t>
        <w:br/>
        <w:br/>
        <w:t>## Cost (AGENTCOST03)</w:t>
        <w:br/>
        <w:t>- Retrieved memory counts toward token budgets - cap the size of each read.</w:t>
        <w:br/>
        <w:t>- Prune or summarize memory on a schedule; prefer recency- and relevance-ranked reads.</w:t>
        <w:br/>
      </w:r>
      <w:r/>
    </w:p>
    <w:p>
      <w:r/>
      <w:r>
        <w:t>At runtime these standards are enforced by AgentCore Memory (managed state, classification, scoping) and AgentCore Identity (per-user scoping); the "memory is untrusted input" rule pairs with Bedrock Guardrails on the read path. That rule is not just a cautious opinion — it restates the lens's own security design principle that the agent is not a trust boundary and every input, memory reads included, is untrusted.</w:t>
      </w:r>
      <w:r/>
    </w:p>
    <w:p>
      <w:pPr>
        <w:pStyle w:val="Heading2"/>
      </w:pPr>
      <w:r>
        <w:t>Scaling to multi-agent → Specs + Permissions + Steering</w:t>
      </w:r>
      <w:r/>
    </w:p>
    <w:p>
      <w:r/>
      <w:r>
        <w:t xml:space="preserve">The original article is single-agent throughout (multi-agent appears only as the Sustainability "monolithic-agent anti-pattern"). The lens has whole focus areas for it: orchestration performance (AGENTPERF05), orchestration </w:t>
      </w:r>
      <w:r>
        <w:rPr>
          <w:i/>
        </w:rPr>
        <w:t>reliability</w:t>
      </w:r>
      <w:r>
        <w:t xml:space="preserve"> via the arbiter-agent pattern (AGENTREL04-BP01), inter-agent trust boundaries and signed messages (AGENTSEC06-BP03, -BP01), and distributed cost attribution across agents (AGENTCOST05-BP02). A short steering standard keeps these front-of-mind the moment a design grows a second agent. As with any starter template, treat the rules below as defaults to adapt, not immovable law.</w:t>
      </w:r>
      <w:r/>
    </w:p>
    <w:p>
      <w:r/>
      <w:r>
        <w:rPr>
          <w:b/>
        </w:rPr>
        <w:t>Steering file:</w:t>
      </w:r>
      <w:r>
        <w:t xml:space="preserve"> </w:t>
      </w:r>
      <w:r>
        <w:rPr>
          <w:rFonts w:ascii="Courier" w:hAnsi="Courier"/>
        </w:rPr>
        <w:t>.kiro/steering/multi-agent.md</w:t>
      </w:r>
      <w:r/>
    </w:p>
    <w:p>
      <w:r/>
      <w:r>
        <w:rPr>
          <w:rFonts w:ascii="Courier" w:hAnsi="Courier"/>
        </w:rPr>
        <w:t># Multi-Agent Standards</w:t>
        <w:br/>
        <w:br/>
        <w:t>## Orchestration (AGENTPERF05, AGENTREL04)</w:t>
        <w:br/>
        <w:t>- Give each sub-agent a single, documented responsibility (avoid god-agents).</w:t>
        <w:br/>
        <w:t>- Prefer explicit, typed handoff contracts over passing raw conversation state.</w:t>
        <w:br/>
        <w:t>- For non-trivial coordination, consider an arbiter/supervisor agent (AGENTREL04-BP01).</w:t>
        <w:br/>
        <w:br/>
        <w:t>## Trust boundaries (AGENTSEC06)</w:t>
        <w:br/>
        <w:t>- Give each sub-agent its OWN least-privilege permissions and scoped MCP tools.</w:t>
        <w:br/>
        <w:t>- A sub-agent SHOULD NOT inherit the orchestrator's full tool access.</w:t>
        <w:br/>
        <w:t>- Treat inter-agent messages as untrusted input: validate at each boundary.</w:t>
        <w:br/>
        <w:br/>
        <w:t>## Cost attribution (AGENTCOST05)</w:t>
        <w:br/>
        <w:t>- Tag model calls with an agent_id so cost can be attributed per sub-agent.</w:t>
        <w:br/>
        <w:t>- Set per-agent token budgets; have the orchestrator aggregate and cap the total.</w:t>
        <w:br/>
      </w:r>
      <w:r/>
    </w:p>
    <w:p>
      <w:r/>
      <w:r>
        <w:t xml:space="preserve">The permissions model does the heavy lifting here: give each sub-agent its own </w:t>
      </w:r>
      <w:r>
        <w:rPr>
          <w:rFonts w:ascii="Courier" w:hAnsi="Courier"/>
        </w:rPr>
        <w:t>permissions.rules</w:t>
      </w:r>
      <w:r>
        <w:t xml:space="preserve"> and scoped </w:t>
      </w:r>
      <w:r>
        <w:rPr>
          <w:rFonts w:ascii="Courier" w:hAnsi="Courier"/>
        </w:rPr>
        <w:t>mcpServers</w:t>
      </w:r>
      <w:r>
        <w:t xml:space="preserve"> rather than one broad profile shared across the swarm. The one rule I would keep as a hard constraint is the no-inheritance-of-full-access boundary — that is the difference between a contained sub-agent failure and a swarm-wide one.</w:t>
      </w:r>
      <w:r/>
    </w:p>
    <w:p>
      <w:pPr>
        <w:pStyle w:val="Heading2"/>
      </w:pPr>
      <w:r>
        <w:t>Building a lens-compliant agent from scratch</w:t>
      </w:r>
      <w:r/>
    </w:p>
    <w:p>
      <w:r/>
      <w:r>
        <w:t>Here is how the pieces come together for an agentic customer service bot, using Kiro end-to-end.</w:t>
      </w:r>
      <w:r/>
    </w:p>
    <w:p>
      <w:r/>
      <w:r>
        <w:rPr>
          <w:b/>
        </w:rPr>
        <w:t>Step 1: Set up steering files.</w:t>
      </w:r>
      <w:r>
        <w:t xml:space="preserve"> Drop the templates above into </w:t>
      </w:r>
      <w:r>
        <w:rPr>
          <w:rFonts w:ascii="Courier" w:hAnsi="Courier"/>
        </w:rPr>
        <w:t>.kiro/steering/</w:t>
      </w:r>
      <w:r>
        <w:t xml:space="preserve">. On your next session they load into context automatically for the default agent, or for a custom agent once you add </w:t>
      </w:r>
      <w:r>
        <w:rPr>
          <w:rFonts w:ascii="Courier" w:hAnsi="Courier"/>
        </w:rPr>
        <w:t>file://.kiro/steering/**/*.md</w:t>
      </w:r>
      <w:r>
        <w:t xml:space="preserve"> to its </w:t>
      </w:r>
      <w:r>
        <w:rPr>
          <w:rFonts w:ascii="Courier" w:hAnsi="Courier"/>
        </w:rPr>
        <w:t>resources</w:t>
      </w:r>
      <w:r>
        <w:t>. (If the workspace is freshly cloned, Kiro treats it as untrusted until you trust it — see the note below — so nothing loads until then.) Every code suggestion Kiro makes now respects your lens-aligned guardrails.</w:t>
      </w:r>
      <w:r/>
    </w:p>
    <w:p>
      <w:r/>
      <w:r>
        <w:rPr>
          <w:b/>
        </w:rPr>
        <w:t>Step 2: Create the spec.</w:t>
      </w:r>
      <w:r>
        <w:t xml:space="preserve"> Prompt Kiro with your feature request. It generates </w:t>
      </w:r>
      <w:r>
        <w:rPr>
          <w:rFonts w:ascii="Courier" w:hAnsi="Courier"/>
        </w:rPr>
        <w:t>requirements.md</w:t>
      </w:r>
      <w:r>
        <w:t xml:space="preserve"> (EARS-format acceptance criteria covering reliability, security, and observability), </w:t>
      </w:r>
      <w:r>
        <w:rPr>
          <w:rFonts w:ascii="Courier" w:hAnsi="Courier"/>
        </w:rPr>
        <w:t>design.md</w:t>
      </w:r>
      <w:r>
        <w:t xml:space="preserve"> (architecture with model-selection rationale, latency budgets, cost estimation, and rollback procedures, all shaped by the steering files), and </w:t>
      </w:r>
      <w:r>
        <w:rPr>
          <w:rFonts w:ascii="Courier" w:hAnsi="Courier"/>
        </w:rPr>
        <w:t>tasks.md</w:t>
      </w:r>
      <w:r>
        <w:t xml:space="preserve"> (sequenced steps with test tasks interleaved, not deferred to the end).</w:t>
      </w:r>
      <w:r/>
    </w:p>
    <w:p>
      <w:r/>
      <w:r>
        <w:rPr>
          <w:b/>
        </w:rPr>
        <w:t>Step 3: Implement with hooks active.</w:t>
      </w:r>
      <w:r>
        <w:t xml:space="preserve"> As Kiro generates code from the tasks, the credential-scanner </w:t>
      </w:r>
      <w:r>
        <w:rPr>
          <w:rFonts w:ascii="Courier" w:hAnsi="Courier"/>
        </w:rPr>
        <w:t>PreToolUse</w:t>
      </w:r>
      <w:r>
        <w:t xml:space="preserve"> hook runs before writes and blocks on a detected secret, and the observability </w:t>
      </w:r>
      <w:r>
        <w:rPr>
          <w:rFonts w:ascii="Courier" w:hAnsi="Courier"/>
        </w:rPr>
        <w:t>PostToolUse</w:t>
      </w:r>
      <w:r>
        <w:t xml:space="preserve"> hook flags any agent file missing structured logging.</w:t>
      </w:r>
      <w:r/>
    </w:p>
    <w:p>
      <w:r/>
      <w:r>
        <w:rPr>
          <w:b/>
        </w:rPr>
        <w:t>Step 4: Property-based testing and evaluation.</w:t>
      </w:r>
      <w:r>
        <w:t xml:space="preserve"> Prompt Kiro to generate property-based tests from the reliability requirements, exercising edge cases (oversized inputs, timeout scenarios, malformed responses) that a hand-written suite would miss — and add an evaluation step for the stochastic behavior that assertion-based tests can't pin down.</w:t>
      </w:r>
      <w:r/>
    </w:p>
    <w:p>
      <w:r/>
      <w:r>
        <w:rPr>
          <w:b/>
        </w:rPr>
        <w:t>Result:</w:t>
      </w:r>
      <w:r>
        <w:t xml:space="preserve"> by the time the feature is complete, it is lens-aligned by construction — observability instrumented, tool access scoped and credentials secured, mutations gated behind human approval, graceful degradation tested, model selection justified and latency budgeted, cost estimated, and architecture kept modular. The controls were applied during development, not bolted on in a separate review.</w:t>
      </w:r>
      <w:r/>
    </w:p>
    <w:p>
      <w:pPr>
        <w:pStyle w:val="Heading2"/>
      </w:pPr>
      <w:r>
        <w:t>A note on workspace trust</w:t>
      </w:r>
      <w:r/>
    </w:p>
    <w:p>
      <w:r/>
      <w:r>
        <w:t xml:space="preserve">Kiro treats a cloned or newly opened workspace as </w:t>
      </w:r>
      <w:r>
        <w:rPr>
          <w:b/>
        </w:rPr>
        <w:t>untrusted</w:t>
      </w:r>
      <w:r>
        <w:t xml:space="preserve"> until you explicitly trust it, and will not load that workspace's steering files, hooks, agents, or MCP servers until you do. This prevents the "I added the steering file and nothing happened" surprise — trust the workspace first. The flip side is a genuine security property worth stating: permission rules live outside the repository (in </w:t>
      </w:r>
      <w:r>
        <w:rPr>
          <w:rFonts w:ascii="Courier" w:hAnsi="Courier"/>
        </w:rPr>
        <w:t>~/.kiro/</w:t>
      </w:r>
      <w:r>
        <w:t xml:space="preserve">), so a cloned repo </w:t>
      </w:r>
      <w:r>
        <w:rPr>
          <w:b/>
        </w:rPr>
        <w:t>cannot</w:t>
      </w:r>
      <w:r>
        <w:t xml:space="preserve"> inject permission rules into your machine. Trust is something each developer configures locally.</w:t>
      </w:r>
      <w:r/>
    </w:p>
    <w:p>
      <w:pPr>
        <w:pStyle w:val="Heading2"/>
      </w:pPr>
      <w:r>
        <w:t>Starter kit: steering file templates</w:t>
      </w:r>
      <w:r/>
    </w:p>
    <w:p>
      <w:r/>
      <w:r>
        <w:t xml:space="preserve">Drop these into any </w:t>
      </w:r>
      <w:r>
        <w:rPr>
          <w:rFonts w:ascii="Courier" w:hAnsi="Courier"/>
        </w:rPr>
        <w:t>.kiro/steering/</w:t>
      </w:r>
      <w:r>
        <w:t xml:space="preserve"> folder to encode lens recommendations:</w:t>
      </w:r>
      <w:r/>
      <w:r/>
    </w:p>
    <w:p>
      <w:pPr>
        <w:pStyle w:val="ListBullet"/>
        <w:spacing w:line="240" w:lineRule="auto"/>
        <w:ind w:left="720"/>
      </w:pPr>
      <w:r/>
      <w:r>
        <w:rPr>
          <w:rFonts w:ascii="Courier" w:hAnsi="Courier"/>
        </w:rPr>
        <w:t>security-guardrails.md</w:t>
      </w:r>
      <w:r>
        <w:t xml:space="preserve">: tool authorization, </w:t>
      </w:r>
      <w:r>
        <w:rPr>
          <w:rFonts w:ascii="Courier" w:hAnsi="Courier"/>
        </w:rPr>
        <w:t>ask</w:t>
      </w:r>
      <w:r>
        <w:t>/HITL on mutations, prompt injection defense, credential handling.</w:t>
      </w:r>
      <w:r/>
    </w:p>
    <w:p>
      <w:pPr>
        <w:pStyle w:val="ListBullet"/>
        <w:spacing w:line="240" w:lineRule="auto"/>
        <w:ind w:left="720"/>
      </w:pPr>
      <w:r/>
      <w:r>
        <w:rPr>
          <w:rFonts w:ascii="Courier" w:hAnsi="Courier"/>
        </w:rPr>
        <w:t>operational-excellence.md</w:t>
      </w:r>
      <w:r>
        <w:t>: observability standards, deployment processes, prompt versioning.</w:t>
      </w:r>
      <w:r/>
    </w:p>
    <w:p>
      <w:pPr>
        <w:pStyle w:val="ListBullet"/>
        <w:spacing w:line="240" w:lineRule="auto"/>
        <w:ind w:left="720"/>
      </w:pPr>
      <w:r/>
      <w:r>
        <w:rPr>
          <w:rFonts w:ascii="Courier" w:hAnsi="Courier"/>
        </w:rPr>
        <w:t>reliability-patterns.md</w:t>
      </w:r>
      <w:r>
        <w:t>: circuit breakers, graceful degradation, fallback model chains, evaluation gates.</w:t>
      </w:r>
      <w:r/>
    </w:p>
    <w:p>
      <w:pPr>
        <w:pStyle w:val="ListBullet"/>
        <w:spacing w:line="240" w:lineRule="auto"/>
        <w:ind w:left="720"/>
      </w:pPr>
      <w:r/>
      <w:r>
        <w:rPr>
          <w:rFonts w:ascii="Courier" w:hAnsi="Courier"/>
        </w:rPr>
        <w:t>performance.md</w:t>
      </w:r>
      <w:r>
        <w:t>: model selection guidance, latency budgets, TTFT targets.</w:t>
      </w:r>
      <w:r/>
    </w:p>
    <w:p>
      <w:pPr>
        <w:pStyle w:val="ListBullet"/>
        <w:spacing w:line="240" w:lineRule="auto"/>
        <w:ind w:left="720"/>
      </w:pPr>
      <w:r/>
      <w:r>
        <w:rPr>
          <w:rFonts w:ascii="Courier" w:hAnsi="Courier"/>
        </w:rPr>
        <w:t>cost-constraints.md</w:t>
      </w:r>
      <w:r>
        <w:t>: token budgets, batch inference guidance, cost estimation requirements.</w:t>
      </w:r>
      <w:r/>
    </w:p>
    <w:p>
      <w:pPr>
        <w:pStyle w:val="ListBullet"/>
        <w:spacing w:line="240" w:lineRule="auto"/>
        <w:ind w:left="720"/>
      </w:pPr>
      <w:r/>
      <w:r>
        <w:rPr>
          <w:rFonts w:ascii="Courier" w:hAnsi="Courier"/>
        </w:rPr>
        <w:t>sustainability.md</w:t>
      </w:r>
      <w:r>
        <w:t>: component reuse patterns, prompt caching, conversation pruning.</w:t>
      </w:r>
      <w:r/>
    </w:p>
    <w:p>
      <w:pPr>
        <w:pStyle w:val="ListBullet"/>
        <w:spacing w:line="240" w:lineRule="auto"/>
        <w:ind w:left="720"/>
      </w:pPr>
      <w:r/>
      <w:r>
        <w:rPr>
          <w:rFonts w:ascii="Courier" w:hAnsi="Courier"/>
        </w:rPr>
        <w:t>memory-governance.md</w:t>
      </w:r>
      <w:r>
        <w:t>: persistence rules, PII/secret exclusion, retention/TTL, memory-as-untrusted-input.</w:t>
      </w:r>
      <w:r/>
    </w:p>
    <w:p>
      <w:pPr>
        <w:pStyle w:val="ListBullet"/>
        <w:spacing w:line="240" w:lineRule="auto"/>
        <w:ind w:left="720"/>
      </w:pPr>
      <w:r/>
      <w:r>
        <w:rPr>
          <w:rFonts w:ascii="Courier" w:hAnsi="Courier"/>
        </w:rPr>
        <w:t>multi-agent.md</w:t>
      </w:r>
      <w:r>
        <w:t>: single-responsibility sub-agents, typed handoff contracts, per-agent least-privilege and cost tagging.</w:t>
      </w:r>
      <w:r/>
      <w:r/>
    </w:p>
    <w:p>
      <w:r/>
      <w:r>
        <w:t xml:space="preserve">Use </w:t>
      </w:r>
      <w:r>
        <w:rPr>
          <w:rFonts w:ascii="Courier" w:hAnsi="Courier"/>
        </w:rPr>
        <w:t>fileMatch</w:t>
      </w:r>
      <w:r>
        <w:t xml:space="preserve"> (or </w:t>
      </w:r>
      <w:r>
        <w:rPr>
          <w:rFonts w:ascii="Courier" w:hAnsi="Courier"/>
        </w:rPr>
        <w:t>auto</w:t>
      </w:r>
      <w:r>
        <w:t xml:space="preserve">) inclusion so each file loads only when relevant. Start with </w:t>
      </w:r>
      <w:r>
        <w:rPr>
          <w:rFonts w:ascii="Courier" w:hAnsi="Courier"/>
        </w:rPr>
        <w:t>security-guardrails.md</w:t>
      </w:r>
      <w:r>
        <w:t xml:space="preserve"> (highest-risk pillar) and expand from there. To roll these out across a whole team, place them in global/team steering (</w:t>
      </w:r>
      <w:r>
        <w:rPr>
          <w:rFonts w:ascii="Courier" w:hAnsi="Courier"/>
        </w:rPr>
        <w:t>~/.kiro/steering/</w:t>
      </w:r>
      <w:r>
        <w:t>), distributed via MDM, Group Policy, or a central repo — which is how new team members inherit the guardrails automatically.</w:t>
      </w:r>
      <w:r/>
    </w:p>
    <w:p>
      <w:pPr>
        <w:pStyle w:val="Heading2"/>
      </w:pPr>
      <w:r>
        <w:t>Where this fits in the full lifecycle</w:t>
      </w:r>
      <w:r/>
    </w:p>
    <w:p>
      <w:r/>
      <w:r>
        <w:t>Kiro handles the author-time layer. The Agentic AI Lens spans the whole lifecycle, and the layers connect like this:</w:t>
      </w:r>
      <w:r/>
      <w:r/>
    </w:p>
    <w:p>
      <w:pPr>
        <w:pStyle w:val="ListBullet"/>
        <w:spacing w:line="240" w:lineRule="auto"/>
        <w:ind w:left="720"/>
      </w:pPr>
      <w:r/>
      <w:r>
        <w:rPr>
          <w:b/>
        </w:rPr>
        <w:t>Author-time (Kiro)</w:t>
      </w:r>
      <w:r>
        <w:t>: steering files, specs, hooks, property-based tests. Helps prevent bad patterns from being written.</w:t>
      </w:r>
      <w:r/>
    </w:p>
    <w:p>
      <w:pPr>
        <w:pStyle w:val="ListBullet"/>
        <w:spacing w:line="240" w:lineRule="auto"/>
        <w:ind w:left="720"/>
      </w:pPr>
      <w:r/>
      <w:r>
        <w:rPr>
          <w:b/>
        </w:rPr>
        <w:t>Build-time (CI/CD)</w:t>
      </w:r>
      <w:r>
        <w:t xml:space="preserve">: the same scripts your Kiro hooks call can run in CI as merge gates. In headless execution, any </w:t>
      </w:r>
      <w:r>
        <w:rPr>
          <w:rFonts w:ascii="Courier" w:hAnsi="Courier"/>
        </w:rPr>
        <w:t>ask</w:t>
      </w:r>
      <w:r>
        <w:t xml:space="preserve"> is treated as </w:t>
      </w:r>
      <w:r>
        <w:rPr>
          <w:rFonts w:ascii="Courier" w:hAnsi="Courier"/>
        </w:rPr>
        <w:t>deny</w:t>
      </w:r>
      <w:r>
        <w:t>, so a CI run can only do what is explicitly allowed — and policy presets (</w:t>
      </w:r>
      <w:r>
        <w:rPr>
          <w:rFonts w:ascii="Courier" w:hAnsi="Courier"/>
        </w:rPr>
        <w:t>read-workspace</w:t>
      </w:r>
      <w:r>
        <w:t xml:space="preserve">, </w:t>
      </w:r>
      <w:r>
        <w:rPr>
          <w:rFonts w:ascii="Courier" w:hAnsi="Courier"/>
        </w:rPr>
        <w:t>edit-workspace</w:t>
      </w:r>
      <w:r>
        <w:t xml:space="preserve">, </w:t>
      </w:r>
      <w:r>
        <w:rPr>
          <w:rFonts w:ascii="Courier" w:hAnsi="Courier"/>
        </w:rPr>
        <w:t>dev-shell</w:t>
      </w:r>
      <w:r>
        <w:t>, etc.) let a harness seed exactly the capability profile it needs.</w:t>
      </w:r>
      <w:r/>
    </w:p>
    <w:p>
      <w:pPr>
        <w:pStyle w:val="ListBullet"/>
        <w:spacing w:line="240" w:lineRule="auto"/>
        <w:ind w:left="720"/>
      </w:pPr>
      <w:r/>
      <w:r>
        <w:rPr>
          <w:b/>
        </w:rPr>
        <w:t>Inference-time (Amazon Bedrock Guardrails)</w:t>
      </w:r>
      <w:r>
        <w:t>: content filters, topic denial, and contextual grounding applied at inference. Catches runtime violations.</w:t>
      </w:r>
      <w:r/>
    </w:p>
    <w:p>
      <w:pPr>
        <w:pStyle w:val="ListBullet"/>
        <w:spacing w:line="240" w:lineRule="auto"/>
        <w:ind w:left="720"/>
      </w:pPr>
      <w:r/>
      <w:r>
        <w:rPr>
          <w:b/>
        </w:rPr>
        <w:t>Operations-time</w:t>
      </w:r>
      <w:r>
        <w:t>: monitoring and incident investigation on deployed agents, feeding lessons back into the steering files and specs.</w:t>
      </w:r>
      <w:r/>
      <w:r/>
    </w:p>
    <w:p>
      <w:r/>
      <w:r>
        <w:t>This creates a closed loop: build lens-aligned agents in Kiro, enforce at runtime, detect runtime issues in operations, and feed fixes back into Kiro. Each tool handles its layer; the lens provides the unified framework.</w:t>
      </w:r>
      <w:r/>
    </w:p>
    <w:p>
      <w:pPr>
        <w:pStyle w:val="Heading3"/>
      </w:pPr>
      <w:r>
        <w:t>The runtime layer in detail: Amazon Bedrock AgentCore</w:t>
      </w:r>
      <w:r/>
    </w:p>
    <w:p>
      <w:r/>
      <w:r>
        <w:t>The lens is built around Amazon Bedrock AgentCore, framework- and model-agnostic infrastructure for running agents at scale. That matters for this post because the standards you author in Kiro are not self-enforcing at runtime — AgentCore is where most of them are actually enforced once the agent is deployed. The author-time control and its runtime counterpart line up like this:</w:t>
      </w:r>
      <w:r/>
    </w:p>
    <w:tbl>
      <w:tblPr>
        <w:tblW w:type="auto" w:w="0"/>
        <w:tblLook w:firstColumn="1" w:firstRow="1" w:lastColumn="0" w:lastRow="0" w:noHBand="0" w:noVBand="1" w:val="04A0"/>
      </w:tblPr>
      <w:tblGrid>
        <w:gridCol w:w="4320"/>
        <w:gridCol w:w="4320"/>
      </w:tblGrid>
      <w:tr>
        <w:tc>
          <w:tcPr>
            <w:tcW w:type="dxa" w:w="4320"/>
          </w:tcPr>
          <w:p>
            <w:r>
              <w:rPr>
                <w:b/>
              </w:rPr>
              <w:t>Kiro-authored standard</w:t>
            </w:r>
          </w:p>
        </w:tc>
        <w:tc>
          <w:tcPr>
            <w:tcW w:type="dxa" w:w="4320"/>
          </w:tcPr>
          <w:p>
            <w:r>
              <w:rPr>
                <w:b/>
              </w:rPr>
              <w:t>AgentCore service that enforces it at runtime</w:t>
            </w:r>
          </w:p>
        </w:tc>
      </w:tr>
      <w:tr>
        <w:tc>
          <w:tcPr>
            <w:tcW w:type="dxa" w:w="4320"/>
          </w:tcPr>
          <w:p>
            <w:r>
              <w:t>Observability steering (structured logs, X-Ray trace IDs, audit trails)</w:t>
            </w:r>
          </w:p>
        </w:tc>
        <w:tc>
          <w:tcPr>
            <w:tcW w:type="dxa" w:w="4320"/>
          </w:tcPr>
          <w:p>
            <w:r>
              <w:rPr>
                <w:b/>
              </w:rPr>
              <w:t>AgentCore Observability</w:t>
            </w:r>
            <w:r>
              <w:t xml:space="preserve"> — distributed tracing and telemetry for agent operations</w:t>
            </w:r>
          </w:p>
        </w:tc>
      </w:tr>
      <w:tr>
        <w:tc>
          <w:tcPr>
            <w:tcW w:type="dxa" w:w="4320"/>
          </w:tcPr>
          <w:p>
            <w:r>
              <w:t>Identity-propagation steering; "separate agent and human permissions"</w:t>
            </w:r>
          </w:p>
        </w:tc>
        <w:tc>
          <w:tcPr>
            <w:tcW w:type="dxa" w:w="4320"/>
          </w:tcPr>
          <w:p>
            <w:r>
              <w:rPr>
                <w:b/>
              </w:rPr>
              <w:t>AgentCore Identity</w:t>
            </w:r>
            <w:r>
              <w:t xml:space="preserve"> — agent authentication and identity context</w:t>
            </w:r>
          </w:p>
        </w:tc>
      </w:tr>
      <w:tr>
        <w:tc>
          <w:tcPr>
            <w:tcW w:type="dxa" w:w="4320"/>
          </w:tcPr>
          <w:p>
            <w:r>
              <w:t>Least-privilege permissions rules; tool authorization; scoped MCP</w:t>
            </w:r>
          </w:p>
        </w:tc>
        <w:tc>
          <w:tcPr>
            <w:tcW w:type="dxa" w:w="4320"/>
          </w:tcPr>
          <w:p>
            <w:r>
              <w:rPr>
                <w:b/>
              </w:rPr>
              <w:t>AgentCore Policy</w:t>
            </w:r>
            <w:r>
              <w:t xml:space="preserve"> (Cedar-based tool-call authorization) + </w:t>
            </w:r>
            <w:r>
              <w:rPr>
                <w:b/>
              </w:rPr>
              <w:t>AgentCore Gateway</w:t>
            </w:r>
            <w:r>
              <w:t xml:space="preserve"> (MCP-compatible, scoped tool access)</w:t>
            </w:r>
          </w:p>
        </w:tc>
      </w:tr>
      <w:tr>
        <w:tc>
          <w:tcPr>
            <w:tcW w:type="dxa" w:w="4320"/>
          </w:tcPr>
          <w:p>
            <w:r>
              <w:t>Memory-governance steering (classification, scoping, pruning)</w:t>
            </w:r>
          </w:p>
        </w:tc>
        <w:tc>
          <w:tcPr>
            <w:tcW w:type="dxa" w:w="4320"/>
          </w:tcPr>
          <w:p>
            <w:r>
              <w:rPr>
                <w:b/>
              </w:rPr>
              <w:t>AgentCore Memory</w:t>
            </w:r>
            <w:r>
              <w:t xml:space="preserve"> — managed agent state</w:t>
            </w:r>
          </w:p>
        </w:tc>
      </w:tr>
      <w:tr>
        <w:tc>
          <w:tcPr>
            <w:tcW w:type="dxa" w:w="4320"/>
          </w:tcPr>
          <w:p>
            <w:r>
              <w:t>Evaluation gate from the reliability/ops sections</w:t>
            </w:r>
          </w:p>
        </w:tc>
        <w:tc>
          <w:tcPr>
            <w:tcW w:type="dxa" w:w="4320"/>
          </w:tcPr>
          <w:p>
            <w:r>
              <w:rPr>
                <w:b/>
              </w:rPr>
              <w:t>AgentCore Evaluations</w:t>
            </w:r>
            <w:r>
              <w:t xml:space="preserve"> — quality and goal-alignment assessment</w:t>
            </w:r>
          </w:p>
        </w:tc>
      </w:tr>
      <w:tr>
        <w:tc>
          <w:tcPr>
            <w:tcW w:type="dxa" w:w="4320"/>
          </w:tcPr>
          <w:p>
            <w:r>
              <w:t>Reliability recovery criteria (retries, recovery, state)</w:t>
            </w:r>
          </w:p>
        </w:tc>
        <w:tc>
          <w:tcPr>
            <w:tcW w:type="dxa" w:w="4320"/>
          </w:tcPr>
          <w:p>
            <w:r>
              <w:rPr>
                <w:b/>
              </w:rPr>
              <w:t>AgentCore Runtime</w:t>
            </w:r>
            <w:r>
              <w:t xml:space="preserve"> — serverless agent hosting</w:t>
            </w:r>
          </w:p>
        </w:tc>
      </w:tr>
      <w:tr>
        <w:tc>
          <w:tcPr>
            <w:tcW w:type="dxa" w:w="4320"/>
          </w:tcPr>
          <w:p>
            <w:r>
              <w:t>Input validation, output filtering, injection defense, grounding</w:t>
            </w:r>
          </w:p>
        </w:tc>
        <w:tc>
          <w:tcPr>
            <w:tcW w:type="dxa" w:w="4320"/>
          </w:tcPr>
          <w:p>
            <w:r>
              <w:rPr>
                <w:b/>
              </w:rPr>
              <w:t>Amazon Bedrock Guardrails</w:t>
            </w:r>
            <w:r>
              <w:t xml:space="preserve"> — content filters, denied topics, contextual grounding</w:t>
            </w:r>
          </w:p>
        </w:tc>
      </w:tr>
    </w:tbl>
    <w:p>
      <w:r/>
    </w:p>
    <w:p>
      <w:r/>
      <w:r>
        <w:t xml:space="preserve">The point is not that AgentCore replaces Kiro — it is that each Kiro standard has a runtime home. "Tool invocations MUST propagate user identity" is a line in a steering file at author-time and an AgentCore Identity enforcement at runtime; "mutating operations require approval" is an </w:t>
      </w:r>
      <w:r>
        <w:rPr>
          <w:rFonts w:ascii="Courier" w:hAnsi="Courier"/>
        </w:rPr>
        <w:t>ask</w:t>
      </w:r>
      <w:r>
        <w:t xml:space="preserve"> rule in Kiro and a Policy decision at runtime. Writing the standard once, in Kiro, and knowing which AgentCore service will carry it is what makes the loop genuinely closed rather than aspirational. (This maps the services qualitatively; for concrete service quotas and limits, check the current AgentCore documentation rather than assuming — they differ per service and change over time.)</w:t>
      </w:r>
      <w:r/>
    </w:p>
    <w:p>
      <w:pPr>
        <w:pStyle w:val="Heading2"/>
      </w:pPr>
      <w:r>
        <w:t>Getting started</w:t>
      </w:r>
      <w:r/>
    </w:p>
    <w:p>
      <w:r/>
      <w:r>
        <w:t>You do not need to implement all six pillars at once. Start small:</w:t>
      </w:r>
      <w:r/>
      <w:r/>
    </w:p>
    <w:p>
      <w:pPr>
        <w:pStyle w:val="ListNumber"/>
        <w:spacing w:line="240" w:lineRule="auto"/>
        <w:ind w:left="720"/>
      </w:pPr>
      <w:r/>
      <w:r>
        <w:t>Install Kiro and open your agent project (trust the workspace so steering and hooks load).</w:t>
      </w:r>
      <w:r/>
    </w:p>
    <w:p>
      <w:pPr>
        <w:pStyle w:val="ListNumber"/>
        <w:spacing w:line="240" w:lineRule="auto"/>
        <w:ind w:left="720"/>
      </w:pPr>
      <w:r/>
      <w:r>
        <w:t>Generate baseline steering docs (</w:t>
      </w:r>
      <w:r>
        <w:rPr>
          <w:rFonts w:ascii="Courier" w:hAnsi="Courier"/>
        </w:rPr>
        <w:t>product.md</w:t>
      </w:r>
      <w:r>
        <w:t xml:space="preserve">, </w:t>
      </w:r>
      <w:r>
        <w:rPr>
          <w:rFonts w:ascii="Courier" w:hAnsi="Courier"/>
        </w:rPr>
        <w:t>tech.md</w:t>
      </w:r>
      <w:r>
        <w:t xml:space="preserve">, </w:t>
      </w:r>
      <w:r>
        <w:rPr>
          <w:rFonts w:ascii="Courier" w:hAnsi="Courier"/>
        </w:rPr>
        <w:t>structure.md</w:t>
      </w:r>
      <w:r>
        <w:t>) for context.</w:t>
      </w:r>
      <w:r/>
    </w:p>
    <w:p>
      <w:pPr>
        <w:pStyle w:val="ListNumber"/>
        <w:spacing w:line="240" w:lineRule="auto"/>
        <w:ind w:left="720"/>
      </w:pPr>
      <w:r/>
      <w:r>
        <w:t xml:space="preserve">Add one lens-aligned steering file, starting with </w:t>
      </w:r>
      <w:r>
        <w:rPr>
          <w:rFonts w:ascii="Courier" w:hAnsi="Courier"/>
        </w:rPr>
        <w:t>security-guardrails.md</w:t>
      </w:r>
      <w:r>
        <w:t>.</w:t>
      </w:r>
      <w:r/>
    </w:p>
    <w:p>
      <w:pPr>
        <w:pStyle w:val="ListNumber"/>
        <w:spacing w:line="240" w:lineRule="auto"/>
        <w:ind w:left="720"/>
      </w:pPr>
      <w:r/>
      <w:r>
        <w:t>Create a spec for your next agent feature. Notice how the steering file influences the generated requirements and design.</w:t>
      </w:r>
      <w:r/>
    </w:p>
    <w:p>
      <w:pPr>
        <w:pStyle w:val="ListNumber"/>
        <w:spacing w:line="240" w:lineRule="auto"/>
        <w:ind w:left="720"/>
      </w:pPr>
      <w:r/>
      <w:r>
        <w:t xml:space="preserve">Add one hook. The credential scanner is the highest value-to-effort — point it at a real scanner like </w:t>
      </w:r>
      <w:r>
        <w:rPr>
          <w:rFonts w:ascii="Courier" w:hAnsi="Courier"/>
        </w:rPr>
        <w:t>gitleaks</w:t>
      </w:r>
      <w:r>
        <w:t>.</w:t>
      </w:r>
      <w:r/>
    </w:p>
    <w:p>
      <w:pPr>
        <w:pStyle w:val="ListNumber"/>
        <w:spacing w:line="240" w:lineRule="auto"/>
        <w:ind w:left="720"/>
      </w:pPr>
      <w:r/>
      <w:r>
        <w:t>Iterate, adding a pillar per sprint until all six are encoded.</w:t>
      </w:r>
      <w:r/>
      <w:r/>
    </w:p>
    <w:p>
      <w:r/>
      <w:r>
        <w:t>Within a few sprints, your agent development workflow will enforce lens alignment by default, and new team members inherit the guardrails automatically.</w:t>
      </w:r>
      <w:r/>
    </w:p>
    <w:p>
      <w:pPr>
        <w:pStyle w:val="Heading2"/>
      </w:pPr>
      <w:r>
        <w:t>Making compliance the default</w:t>
      </w:r>
      <w:r/>
    </w:p>
    <w:p>
      <w:r/>
      <w:r>
        <w:t>The Agentic AI Lens tells you what good looks like. Kiro helps make it the default.</w:t>
      </w:r>
      <w:r/>
    </w:p>
    <w:p>
      <w:r/>
      <w:r>
        <w:t>When best practices are encoded in steering files and enforced by hooks and permissions, compliance becomes a side effect of normal development — not a separate review step, not a checklist someone forgets, not a gate that slows down delivery.</w:t>
      </w:r>
      <w:r/>
    </w:p>
    <w:p>
      <w:r/>
      <w:r>
        <w:t>The pattern is simple: read the lens, distill each recommendation into a constraint or standard, write it as a steering file, hook, or permissions rule, and let Kiro apply it every time code is written. The lens provides the knowledge. Kiro provides the enforcement mechanism.</w:t>
      </w:r>
      <w:r/>
    </w:p>
    <w:p>
      <w:r/>
      <w:r>
        <w:t>If you are building agents on AWS and want to compare approaches on encoding the lens into your workflow, I would genuinely like to hear what is working for you.</w:t>
      </w:r>
      <w:r/>
    </w:p>
    <w:p>
      <w:pPr>
        <w:pStyle w:val="Heading2"/>
      </w:pPr>
      <w:r>
        <w:t>Changelog — what changed in this revision</w:t>
      </w:r>
      <w:r/>
    </w:p>
    <w:p>
      <w:r/>
      <w:r>
        <w:t>For reviewers comparing against the first draft, the substantive corrections and additions, all verified against the live AWS and Kiro documentation:</w:t>
      </w:r>
      <w:r/>
    </w:p>
    <w:p>
      <w:r/>
      <w:r>
        <w:rPr>
          <w:b/>
        </w:rPr>
        <w:t>Accuracy corrections (Kiro):</w:t>
      </w:r>
      <w:r>
        <w:t xml:space="preserve">- Steering inclusion modes: </w:t>
      </w:r>
      <w:r>
        <w:rPr>
          <w:b/>
        </w:rPr>
        <w:t>four</w:t>
      </w:r>
      <w:r>
        <w:t xml:space="preserve">, not three — added </w:t>
      </w:r>
      <w:r>
        <w:rPr>
          <w:rFonts w:ascii="Courier" w:hAnsi="Courier"/>
        </w:rPr>
        <w:t>auto</w:t>
      </w:r>
      <w:r>
        <w:t xml:space="preserve"> (description-matched activation). - File-change triggers (</w:t>
      </w:r>
      <w:r>
        <w:rPr>
          <w:rFonts w:ascii="Courier" w:hAnsi="Courier"/>
        </w:rPr>
        <w:t>PostFileSave</w:t>
      </w:r>
      <w:r>
        <w:t xml:space="preserve">, file-delete) are available in </w:t>
      </w:r>
      <w:r>
        <w:rPr>
          <w:b/>
        </w:rPr>
        <w:t>CLI V3</w:t>
      </w:r>
      <w:r>
        <w:t xml:space="preserve">, not IDE-only. - Permissions model has </w:t>
      </w:r>
      <w:r>
        <w:rPr>
          <w:b/>
        </w:rPr>
        <w:t>three</w:t>
      </w:r>
      <w:r>
        <w:t xml:space="preserve"> effects — added </w:t>
      </w:r>
      <w:r>
        <w:rPr>
          <w:rFonts w:ascii="Courier" w:hAnsi="Courier"/>
        </w:rPr>
        <w:t>ask</w:t>
      </w:r>
      <w:r>
        <w:t xml:space="preserve"> (the native human-in-the-loop primitive) and the </w:t>
      </w:r>
      <w:r>
        <w:rPr>
          <w:rFonts w:ascii="Courier" w:hAnsi="Courier"/>
        </w:rPr>
        <w:t>deny</w:t>
      </w:r>
      <w:r>
        <w:t xml:space="preserve"> &gt; </w:t>
      </w:r>
      <w:r>
        <w:rPr>
          <w:rFonts w:ascii="Courier" w:hAnsi="Courier"/>
        </w:rPr>
        <w:t>ask</w:t>
      </w:r>
      <w:r>
        <w:t xml:space="preserve"> &gt; </w:t>
      </w:r>
      <w:r>
        <w:rPr>
          <w:rFonts w:ascii="Courier" w:hAnsi="Courier"/>
        </w:rPr>
        <w:t>allow</w:t>
      </w:r>
      <w:r>
        <w:t xml:space="preserve"> deny-overrides rule. - </w:t>
      </w:r>
      <w:r>
        <w:rPr>
          <w:rFonts w:ascii="Courier" w:hAnsi="Courier"/>
        </w:rPr>
        <w:t>SessionStart</w:t>
      </w:r>
      <w:r>
        <w:t xml:space="preserve"> is the canonical V3 trigger; </w:t>
      </w:r>
      <w:r>
        <w:rPr>
          <w:rFonts w:ascii="Courier" w:hAnsi="Courier"/>
        </w:rPr>
        <w:t>AgentSpawn</w:t>
      </w:r>
      <w:r>
        <w:t>/</w:t>
      </w:r>
      <w:r>
        <w:rPr>
          <w:rFonts w:ascii="Courier" w:hAnsi="Courier"/>
        </w:rPr>
        <w:t>agentSpawn</w:t>
      </w:r>
      <w:r>
        <w:t xml:space="preserve"> are 2.x compatibility spellings (was stated backwards). - Flagged that CLI prompt-submit hooks </w:t>
      </w:r>
      <w:r>
        <w:rPr>
          <w:b/>
        </w:rPr>
        <w:t>cannot block</w:t>
      </w:r>
      <w:r>
        <w:t xml:space="preserve"> (IDE-only), and that the trigger string ("Prompt Submit") should be confirmed per install. - Added </w:t>
      </w:r>
      <w:r>
        <w:rPr>
          <w:rFonts w:ascii="Courier" w:hAnsi="Courier"/>
        </w:rPr>
        <w:t>matcher</w:t>
      </w:r>
      <w:r>
        <w:t xml:space="preserve"> source selectors (</w:t>
      </w:r>
      <w:r>
        <w:rPr>
          <w:rFonts w:ascii="Courier" w:hAnsi="Courier"/>
        </w:rPr>
        <w:t>@mcp</w:t>
      </w:r>
      <w:r>
        <w:t xml:space="preserve">, </w:t>
      </w:r>
      <w:r>
        <w:rPr>
          <w:rFonts w:ascii="Courier" w:hAnsi="Courier"/>
        </w:rPr>
        <w:t>@builtin</w:t>
      </w:r>
      <w:r>
        <w:t xml:space="preserve">, </w:t>
      </w:r>
      <w:r>
        <w:rPr>
          <w:rFonts w:ascii="Courier" w:hAnsi="Courier"/>
        </w:rPr>
        <w:t>@&lt;server&gt;</w:t>
      </w:r>
      <w:r>
        <w:t>) and the MCP internal-ID gotcha (</w:t>
      </w:r>
      <w:r>
        <w:rPr>
          <w:rFonts w:ascii="Courier" w:hAnsi="Courier"/>
        </w:rPr>
        <w:t>mcp_&lt;server&gt;_&lt;tool&gt;</w:t>
      </w:r>
      <w:r>
        <w:t>).</w:t>
      </w:r>
      <w:r/>
    </w:p>
    <w:p>
      <w:r/>
      <w:r>
        <w:rPr>
          <w:b/>
        </w:rPr>
        <w:t>Bug fix (hook scripts):</w:t>
      </w:r>
      <w:r>
        <w:t xml:space="preserve">- Both scripts now enumerate files with </w:t>
      </w:r>
      <w:r>
        <w:rPr>
          <w:rFonts w:ascii="Courier" w:hAnsi="Courier"/>
        </w:rPr>
        <w:t>git ls-files --modified --others --exclude-standard</w:t>
      </w:r>
      <w:r>
        <w:t xml:space="preserve"> so </w:t>
      </w:r>
      <w:r>
        <w:rPr>
          <w:b/>
        </w:rPr>
        <w:t>newly created</w:t>
      </w:r>
      <w:r>
        <w:t xml:space="preserve"> files are scanned; a plain </w:t>
      </w:r>
      <w:r>
        <w:rPr>
          <w:rFonts w:ascii="Courier" w:hAnsi="Courier"/>
        </w:rPr>
        <w:t>git diff</w:t>
      </w:r>
      <w:r>
        <w:t xml:space="preserve"> omits untracked files — the common case for a just-generated agent file. - Reframed the credential regex as an explicit placeholder and pointed at real scanners (</w:t>
      </w:r>
      <w:r>
        <w:rPr>
          <w:rFonts w:ascii="Courier" w:hAnsi="Courier"/>
        </w:rPr>
        <w:t>gitleaks</w:t>
      </w:r>
      <w:r>
        <w:t>/</w:t>
      </w:r>
      <w:r>
        <w:rPr>
          <w:rFonts w:ascii="Courier" w:hAnsi="Courier"/>
        </w:rPr>
        <w:t>trufflehog</w:t>
      </w:r>
      <w:r>
        <w:t>/</w:t>
      </w:r>
      <w:r>
        <w:rPr>
          <w:rFonts w:ascii="Courier" w:hAnsi="Courier"/>
        </w:rPr>
        <w:t>detect-secrets</w:t>
      </w:r>
      <w:r>
        <w:t>).</w:t>
      </w:r>
      <w:r/>
    </w:p>
    <w:p>
      <w:r/>
      <w:r>
        <w:rPr>
          <w:b/>
        </w:rPr>
        <w:t>Lens-fidelity additions:</w:t>
      </w:r>
      <w:r>
        <w:t xml:space="preserve">- Added a leaf-BP mapping matrix sourced from Appendix A (150 BPs), correcting three mis-homed mappings (tool authorization → AGENTSEC02-BP01; model selection → AGENTPERF02-BP02; spec-driven approach → AGENTSUS01-BP05). - Added a </w:t>
      </w:r>
      <w:r>
        <w:rPr>
          <w:b/>
        </w:rPr>
        <w:t>Priority column</w:t>
      </w:r>
      <w:r>
        <w:t xml:space="preserve"> to the matrix carrying the lens's own High/Medium risk rating per best practice, so incremental adopters can sequence the High-rated controls first. - New cross-cutting sections: memory governance (AGENTSEC01/REL03/PERF03/COST03) and multi-agent (AGENTPERF05, AGENTREL04, AGENTSEC06, AGENTCOST05). - Added an evaluation-gate recommendation (AGENTOPS06) alongside property-based tests. - Expanded the lifecycle section with an explicit Kiro-standard → AgentCore-service enforcement map. - Added workspace-trust, global/team steering, and headless </w:t>
      </w:r>
      <w:r>
        <w:rPr>
          <w:rFonts w:ascii="Courier" w:hAnsi="Courier"/>
        </w:rPr>
        <w:t>ask</w:t>
      </w:r>
      <w:r>
        <w:t>→</w:t>
      </w:r>
      <w:r>
        <w:rPr>
          <w:rFonts w:ascii="Courier" w:hAnsi="Courier"/>
        </w:rPr>
        <w:t>deny</w:t>
      </w:r>
      <w:r>
        <w:t xml:space="preserve"> + policy-preset notes.</w:t>
      </w:r>
      <w:r/>
    </w:p>
    <w:p>
      <w:pPr>
        <w:pStyle w:val="Heading2"/>
      </w:pPr>
      <w:r>
        <w:t>References</w:t>
      </w:r>
      <w:r/>
      <w:r/>
    </w:p>
    <w:p>
      <w:pPr>
        <w:pStyle w:val="ListBullet"/>
        <w:spacing w:line="240" w:lineRule="auto"/>
        <w:ind w:left="720"/>
      </w:pPr>
      <w:r/>
      <w:hyperlink r:id="rId9">
        <w:r>
          <w:rPr>
            <w:color w:val="0000EE"/>
            <w:u w:val="single"/>
          </w:rPr>
          <w:t>AWS Well-Architected Agentic AI Lens</w:t>
        </w:r>
      </w:hyperlink>
      <w:r/>
    </w:p>
    <w:p>
      <w:pPr>
        <w:pStyle w:val="ListBullet"/>
        <w:spacing w:line="240" w:lineRule="auto"/>
        <w:ind w:left="720"/>
      </w:pPr>
      <w:r/>
      <w:hyperlink r:id="rId10">
        <w:r>
          <w:rPr>
            <w:color w:val="0000EE"/>
            <w:u w:val="single"/>
          </w:rPr>
          <w:t>Kiro documentation</w:t>
        </w:r>
      </w:hyperlink>
      <w:r/>
    </w:p>
    <w:p>
      <w:pPr>
        <w:pStyle w:val="ListBullet"/>
        <w:spacing w:line="240" w:lineRule="auto"/>
        <w:ind w:left="720"/>
      </w:pPr>
      <w:r/>
      <w:hyperlink r:id="rId12">
        <w:r>
          <w:rPr>
            <w:color w:val="0000EE"/>
            <w:u w:val="single"/>
          </w:rPr>
          <w:t>Kiro steering files</w:t>
        </w:r>
      </w:hyperlink>
      <w:r/>
    </w:p>
    <w:p>
      <w:pPr>
        <w:pStyle w:val="ListBullet"/>
        <w:spacing w:line="240" w:lineRule="auto"/>
        <w:ind w:left="720"/>
      </w:pPr>
      <w:r/>
      <w:hyperlink r:id="rId13">
        <w:r>
          <w:rPr>
            <w:color w:val="0000EE"/>
            <w:u w:val="single"/>
          </w:rPr>
          <w:t>Kiro specs</w:t>
        </w:r>
      </w:hyperlink>
      <w:r/>
    </w:p>
    <w:p>
      <w:pPr>
        <w:pStyle w:val="ListBullet"/>
        <w:spacing w:line="240" w:lineRule="auto"/>
        <w:ind w:left="720"/>
      </w:pPr>
      <w:r/>
      <w:hyperlink r:id="rId14">
        <w:r>
          <w:rPr>
            <w:color w:val="0000EE"/>
            <w:u w:val="single"/>
          </w:rPr>
          <w:t>Kiro hooks</w:t>
        </w:r>
      </w:hyperlink>
      <w:r>
        <w:t xml:space="preserve"> and </w:t>
      </w:r>
      <w:hyperlink r:id="rId15">
        <w:r>
          <w:rPr>
            <w:color w:val="0000EE"/>
            <w:u w:val="single"/>
          </w:rPr>
          <w:t>hook triggers</w:t>
        </w:r>
      </w:hyperlink>
      <w:r/>
    </w:p>
    <w:p>
      <w:pPr>
        <w:pStyle w:val="ListBullet"/>
        <w:spacing w:line="240" w:lineRule="auto"/>
        <w:ind w:left="720"/>
      </w:pPr>
      <w:r/>
      <w:hyperlink r:id="rId17">
        <w:r>
          <w:rPr>
            <w:color w:val="0000EE"/>
            <w:u w:val="single"/>
          </w:rPr>
          <w:t>Kiro permissions</w:t>
        </w:r>
      </w:hyperlink>
      <w:r/>
    </w:p>
    <w:p>
      <w:pPr>
        <w:pStyle w:val="ListBullet"/>
        <w:spacing w:line="240" w:lineRule="auto"/>
        <w:ind w:left="720"/>
      </w:pPr>
      <w:r/>
      <w:hyperlink r:id="rId16">
        <w:r>
          <w:rPr>
            <w:color w:val="0000EE"/>
            <w:u w:val="single"/>
          </w:rPr>
          <w:t>Kiro MCP</w:t>
        </w:r>
      </w:hyperlink>
      <w:r/>
    </w:p>
    <w:p>
      <w:pPr>
        <w:pStyle w:val="ListBullet"/>
        <w:spacing w:line="240" w:lineRule="auto"/>
        <w:ind w:left="720"/>
      </w:pPr>
      <w:r/>
      <w:hyperlink r:id="rId11">
        <w:r>
          <w:rPr>
            <w:color w:val="0000EE"/>
            <w:u w:val="single"/>
          </w:rPr>
          <w:t>Kiro CLI 3.0 migration guide</w:t>
        </w:r>
      </w:hyperlink>
      <w:r/>
    </w:p>
    <w:p>
      <w:pPr>
        <w:pStyle w:val="ListBullet"/>
        <w:spacing w:line="240" w:lineRule="auto"/>
        <w:ind w:left="720"/>
      </w:pPr>
      <w:r/>
      <w:hyperlink r:id="rId19">
        <w:r>
          <w:rPr>
            <w:color w:val="0000EE"/>
            <w:u w:val="single"/>
          </w:rPr>
          <w:t>Amazon Bedrock Guardrails</w:t>
        </w:r>
      </w:hyperlink>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ocs.aws.amazon.com/wellarchitected/latest/agentic-ai-lens/agentic-ai-lens.html" TargetMode="External"/><Relationship Id="rId10" Type="http://schemas.openxmlformats.org/officeDocument/2006/relationships/hyperlink" Target="https://kiro.dev/docs/" TargetMode="External"/><Relationship Id="rId11" Type="http://schemas.openxmlformats.org/officeDocument/2006/relationships/hyperlink" Target="https://kiro.dev/docs/cli/v3/migration-guide/" TargetMode="External"/><Relationship Id="rId12" Type="http://schemas.openxmlformats.org/officeDocument/2006/relationships/hyperlink" Target="https://kiro.dev/docs/steering/" TargetMode="External"/><Relationship Id="rId13" Type="http://schemas.openxmlformats.org/officeDocument/2006/relationships/hyperlink" Target="https://kiro.dev/docs/specs/" TargetMode="External"/><Relationship Id="rId14" Type="http://schemas.openxmlformats.org/officeDocument/2006/relationships/hyperlink" Target="https://kiro.dev/docs/hooks/" TargetMode="External"/><Relationship Id="rId15" Type="http://schemas.openxmlformats.org/officeDocument/2006/relationships/hyperlink" Target="https://kiro.dev/docs/hooks/types/" TargetMode="External"/><Relationship Id="rId16" Type="http://schemas.openxmlformats.org/officeDocument/2006/relationships/hyperlink" Target="https://kiro.dev/docs/mcp/" TargetMode="External"/><Relationship Id="rId17" Type="http://schemas.openxmlformats.org/officeDocument/2006/relationships/hyperlink" Target="https://kiro.dev/docs/permissions/" TargetMode="External"/><Relationship Id="rId18" Type="http://schemas.openxmlformats.org/officeDocument/2006/relationships/hyperlink" Target="https://docs.aws.amazon.com/wellarchitected/latest/agentic-ai-lens/appendix-a.html" TargetMode="External"/><Relationship Id="rId19" Type="http://schemas.openxmlformats.org/officeDocument/2006/relationships/hyperlink" Target="https://docs.aws.amazon.com/bedrock/latest/userguide/guardrail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